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1E7" w:rsidRPr="00F741E7" w:rsidRDefault="00F741E7" w:rsidP="004040E9">
      <w:pPr>
        <w:spacing w:after="0" w:line="240" w:lineRule="auto"/>
        <w:ind w:right="1758"/>
        <w:jc w:val="both"/>
        <w:rPr>
          <w:rFonts w:ascii="Tahoma" w:hAnsi="Tahoma" w:cs="Tahoma"/>
          <w:b/>
          <w:sz w:val="20"/>
          <w:szCs w:val="20"/>
        </w:rPr>
      </w:pPr>
    </w:p>
    <w:p w:rsidR="00F741E7" w:rsidRPr="004040E9" w:rsidRDefault="00F741E7" w:rsidP="004040E9">
      <w:pPr>
        <w:pStyle w:val="Textoindependiente"/>
        <w:widowControl w:val="0"/>
        <w:tabs>
          <w:tab w:val="left" w:pos="2410"/>
          <w:tab w:val="left" w:pos="3402"/>
          <w:tab w:val="left" w:pos="6379"/>
          <w:tab w:val="left" w:pos="6946"/>
        </w:tabs>
        <w:suppressAutoHyphens/>
        <w:spacing w:after="0" w:line="240" w:lineRule="auto"/>
        <w:ind w:left="3402" w:right="1700" w:hanging="992"/>
        <w:jc w:val="both"/>
        <w:rPr>
          <w:rFonts w:ascii="Tahoma" w:hAnsi="Tahoma" w:cs="Tahoma"/>
          <w:i/>
          <w:sz w:val="20"/>
          <w:szCs w:val="20"/>
          <w:lang w:val="es-PE"/>
        </w:rPr>
      </w:pPr>
      <w:r w:rsidRPr="00F741E7">
        <w:rPr>
          <w:rFonts w:ascii="Tahoma" w:hAnsi="Tahoma" w:cs="Tahoma"/>
          <w:b/>
          <w:sz w:val="20"/>
          <w:szCs w:val="20"/>
        </w:rPr>
        <w:t xml:space="preserve">Sumilla: </w:t>
      </w:r>
      <w:r w:rsidR="004040E9">
        <w:rPr>
          <w:rFonts w:ascii="Tahoma" w:hAnsi="Tahoma" w:cs="Tahoma"/>
          <w:b/>
          <w:sz w:val="20"/>
          <w:szCs w:val="20"/>
        </w:rPr>
        <w:t xml:space="preserve"> </w:t>
      </w:r>
      <w:r w:rsidR="004040E9" w:rsidRPr="004040E9">
        <w:rPr>
          <w:rFonts w:ascii="Tahoma" w:hAnsi="Tahoma" w:cs="Tahoma"/>
          <w:i/>
          <w:sz w:val="20"/>
          <w:szCs w:val="20"/>
          <w:lang w:val="es-MX"/>
        </w:rPr>
        <w:t>Según</w:t>
      </w:r>
      <w:r w:rsidR="004040E9" w:rsidRPr="004040E9">
        <w:rPr>
          <w:rFonts w:ascii="Tahoma" w:hAnsi="Tahoma" w:cs="Tahoma"/>
          <w:i/>
          <w:sz w:val="20"/>
          <w:szCs w:val="20"/>
        </w:rPr>
        <w:t xml:space="preserve"> lo dispuesto por el artículo 208</w:t>
      </w:r>
      <w:r w:rsidR="003A23FC">
        <w:rPr>
          <w:rFonts w:ascii="Tahoma" w:hAnsi="Tahoma" w:cs="Tahoma"/>
          <w:i/>
          <w:sz w:val="20"/>
          <w:szCs w:val="20"/>
        </w:rPr>
        <w:t>º</w:t>
      </w:r>
      <w:r w:rsidR="004040E9" w:rsidRPr="004040E9">
        <w:rPr>
          <w:rFonts w:ascii="Tahoma" w:hAnsi="Tahoma" w:cs="Tahoma"/>
          <w:i/>
          <w:sz w:val="20"/>
          <w:szCs w:val="20"/>
        </w:rPr>
        <w:t xml:space="preserve"> del Reglamento, salvo prohibición expresa prevista en dicho cuerpo normativo, en las Bases o el Contrato, el contratista puede convenir con terceros la subcontratación de parte de las prestaciones a su cargo siempre que la entidad lo apruebe por escrito y de manera previa</w:t>
      </w:r>
      <w:r w:rsidRPr="004040E9">
        <w:rPr>
          <w:rFonts w:ascii="Tahoma" w:hAnsi="Tahoma" w:cs="Tahoma"/>
          <w:i/>
          <w:sz w:val="20"/>
          <w:szCs w:val="20"/>
        </w:rPr>
        <w:t>.</w:t>
      </w:r>
    </w:p>
    <w:p w:rsidR="00F741E7" w:rsidRPr="00F741E7" w:rsidRDefault="00F741E7" w:rsidP="004040E9">
      <w:pPr>
        <w:spacing w:line="240" w:lineRule="auto"/>
        <w:ind w:left="3544" w:right="1559" w:hanging="992"/>
        <w:jc w:val="both"/>
        <w:rPr>
          <w:rFonts w:ascii="Tahoma" w:hAnsi="Tahoma" w:cs="Tahoma"/>
          <w:b/>
          <w:sz w:val="20"/>
          <w:szCs w:val="20"/>
        </w:rPr>
      </w:pPr>
    </w:p>
    <w:p w:rsidR="00F741E7" w:rsidRPr="00F741E7" w:rsidRDefault="001E41AB" w:rsidP="004040E9">
      <w:pPr>
        <w:pStyle w:val="Textoindependiente3"/>
        <w:spacing w:after="0"/>
        <w:ind w:left="4248" w:right="179" w:firstLine="708"/>
        <w:jc w:val="both"/>
        <w:rPr>
          <w:rFonts w:ascii="Tahoma" w:hAnsi="Tahoma" w:cs="Tahoma"/>
          <w:sz w:val="20"/>
          <w:szCs w:val="20"/>
        </w:rPr>
      </w:pPr>
      <w:r>
        <w:rPr>
          <w:rFonts w:ascii="Tahoma" w:hAnsi="Tahoma" w:cs="Tahoma"/>
          <w:b/>
          <w:sz w:val="20"/>
          <w:szCs w:val="20"/>
        </w:rPr>
        <w:t xml:space="preserve"> </w:t>
      </w:r>
      <w:r w:rsidR="00F741E7" w:rsidRPr="00F741E7">
        <w:rPr>
          <w:rFonts w:ascii="Tahoma" w:hAnsi="Tahoma" w:cs="Tahoma"/>
          <w:b/>
          <w:sz w:val="20"/>
          <w:szCs w:val="20"/>
        </w:rPr>
        <w:t>Lima</w:t>
      </w:r>
      <w:r w:rsidR="00F741E7" w:rsidRPr="00F741E7">
        <w:rPr>
          <w:rFonts w:ascii="Tahoma" w:hAnsi="Tahoma" w:cs="Tahoma"/>
          <w:sz w:val="20"/>
          <w:szCs w:val="20"/>
        </w:rPr>
        <w:t xml:space="preserve">, </w:t>
      </w:r>
      <w:r w:rsidRPr="001E41AB">
        <w:rPr>
          <w:rFonts w:ascii="Tahoma" w:hAnsi="Tahoma" w:cs="Tahoma"/>
          <w:b/>
          <w:sz w:val="20"/>
          <w:szCs w:val="20"/>
        </w:rPr>
        <w:t>22 de Febrero de 2011</w:t>
      </w:r>
    </w:p>
    <w:p w:rsidR="00F741E7" w:rsidRPr="00F741E7" w:rsidRDefault="00F741E7" w:rsidP="004040E9">
      <w:pPr>
        <w:pStyle w:val="Textoindependiente3"/>
        <w:spacing w:after="0"/>
        <w:jc w:val="both"/>
        <w:rPr>
          <w:rFonts w:ascii="Tahoma" w:hAnsi="Tahoma" w:cs="Tahoma"/>
          <w:sz w:val="20"/>
          <w:szCs w:val="20"/>
        </w:rPr>
      </w:pPr>
    </w:p>
    <w:p w:rsidR="00F741E7" w:rsidRPr="00F741E7" w:rsidRDefault="00F741E7" w:rsidP="004040E9">
      <w:pPr>
        <w:spacing w:after="0" w:line="240" w:lineRule="auto"/>
        <w:jc w:val="both"/>
        <w:rPr>
          <w:rFonts w:ascii="Tahoma" w:hAnsi="Tahoma" w:cs="Tahoma"/>
          <w:sz w:val="20"/>
          <w:szCs w:val="20"/>
        </w:rPr>
      </w:pPr>
      <w:r w:rsidRPr="00F741E7">
        <w:rPr>
          <w:rFonts w:ascii="Tahoma" w:hAnsi="Tahoma" w:cs="Tahoma"/>
          <w:b/>
          <w:sz w:val="20"/>
          <w:szCs w:val="20"/>
        </w:rPr>
        <w:t>VISTO</w:t>
      </w:r>
      <w:r w:rsidRPr="00F741E7">
        <w:rPr>
          <w:rFonts w:ascii="Tahoma" w:hAnsi="Tahoma" w:cs="Tahoma"/>
          <w:sz w:val="20"/>
          <w:szCs w:val="20"/>
        </w:rPr>
        <w:t xml:space="preserve"> en sesión de fecha 2</w:t>
      </w:r>
      <w:r>
        <w:rPr>
          <w:rFonts w:ascii="Tahoma" w:hAnsi="Tahoma" w:cs="Tahoma"/>
          <w:sz w:val="20"/>
          <w:szCs w:val="20"/>
        </w:rPr>
        <w:t>2</w:t>
      </w:r>
      <w:r w:rsidRPr="00F741E7">
        <w:rPr>
          <w:rFonts w:ascii="Tahoma" w:hAnsi="Tahoma" w:cs="Tahoma"/>
          <w:sz w:val="20"/>
          <w:szCs w:val="20"/>
        </w:rPr>
        <w:t xml:space="preserve"> de </w:t>
      </w:r>
      <w:r>
        <w:rPr>
          <w:rFonts w:ascii="Tahoma" w:hAnsi="Tahoma" w:cs="Tahoma"/>
          <w:sz w:val="20"/>
          <w:szCs w:val="20"/>
        </w:rPr>
        <w:t xml:space="preserve">febrero </w:t>
      </w:r>
      <w:r w:rsidRPr="00F741E7">
        <w:rPr>
          <w:rFonts w:ascii="Tahoma" w:hAnsi="Tahoma" w:cs="Tahoma"/>
          <w:sz w:val="20"/>
          <w:szCs w:val="20"/>
        </w:rPr>
        <w:t>de 201</w:t>
      </w:r>
      <w:r>
        <w:rPr>
          <w:rFonts w:ascii="Tahoma" w:hAnsi="Tahoma" w:cs="Tahoma"/>
          <w:sz w:val="20"/>
          <w:szCs w:val="20"/>
        </w:rPr>
        <w:t>1</w:t>
      </w:r>
      <w:r w:rsidRPr="00F741E7">
        <w:rPr>
          <w:rFonts w:ascii="Tahoma" w:hAnsi="Tahoma" w:cs="Tahoma"/>
          <w:sz w:val="20"/>
          <w:szCs w:val="20"/>
        </w:rPr>
        <w:t xml:space="preserve"> de la Primera Sala del Tribunal de Contrataciones del Estado el Expediente № </w:t>
      </w:r>
      <w:r>
        <w:rPr>
          <w:rFonts w:ascii="Tahoma" w:hAnsi="Tahoma" w:cs="Tahoma"/>
          <w:sz w:val="20"/>
          <w:szCs w:val="20"/>
        </w:rPr>
        <w:t>1034</w:t>
      </w:r>
      <w:r w:rsidRPr="00F741E7">
        <w:rPr>
          <w:rFonts w:ascii="Tahoma" w:hAnsi="Tahoma" w:cs="Tahoma"/>
          <w:sz w:val="20"/>
          <w:szCs w:val="20"/>
        </w:rPr>
        <w:t xml:space="preserve">/2010.TC, sobre el procedimiento administrativo sancionador contra el Consorcio CALLAO, conformado por la empresa CVJ CONTRATISTAS GENERALES S.R.L. y ALE CONTRATISTAS GENERALES S.R.L., por </w:t>
      </w:r>
      <w:r>
        <w:rPr>
          <w:rFonts w:ascii="Tahoma" w:hAnsi="Tahoma" w:cs="Tahoma"/>
          <w:sz w:val="20"/>
          <w:szCs w:val="20"/>
        </w:rPr>
        <w:t xml:space="preserve"> haber realizado subcontratación en el marco de la ejecución contractual derivada de </w:t>
      </w:r>
      <w:r w:rsidRPr="00F741E7">
        <w:rPr>
          <w:rFonts w:ascii="Tahoma" w:hAnsi="Tahoma" w:cs="Tahoma"/>
          <w:sz w:val="20"/>
          <w:szCs w:val="20"/>
        </w:rPr>
        <w:t xml:space="preserve">la Licitación Pública Local № 004-2008-OEI-GRC, </w:t>
      </w:r>
      <w:r>
        <w:rPr>
          <w:rFonts w:ascii="Tahoma" w:hAnsi="Tahoma" w:cs="Tahoma"/>
          <w:sz w:val="20"/>
          <w:szCs w:val="20"/>
        </w:rPr>
        <w:t xml:space="preserve">efectuada por </w:t>
      </w:r>
      <w:r w:rsidRPr="00F741E7">
        <w:rPr>
          <w:rFonts w:ascii="Tahoma" w:hAnsi="Tahoma" w:cs="Tahoma"/>
          <w:sz w:val="20"/>
          <w:szCs w:val="20"/>
        </w:rPr>
        <w:t>el Gobierno Regional del Callao</w:t>
      </w:r>
      <w:r>
        <w:rPr>
          <w:rFonts w:ascii="Tahoma" w:hAnsi="Tahoma" w:cs="Tahoma"/>
          <w:sz w:val="20"/>
          <w:szCs w:val="20"/>
        </w:rPr>
        <w:t xml:space="preserve">, </w:t>
      </w:r>
      <w:r w:rsidRPr="00F741E7">
        <w:rPr>
          <w:rFonts w:ascii="Tahoma" w:hAnsi="Tahoma" w:cs="Tahoma"/>
          <w:sz w:val="20"/>
          <w:szCs w:val="20"/>
        </w:rPr>
        <w:t>para el “cambio de redes de agua potable y alcantarillado en el A.H. Miguel Grau - Callao”</w:t>
      </w:r>
      <w:r>
        <w:rPr>
          <w:rFonts w:ascii="Tahoma" w:hAnsi="Tahoma" w:cs="Tahoma"/>
          <w:sz w:val="20"/>
          <w:szCs w:val="20"/>
        </w:rPr>
        <w:t>, oídos los informes orales en la audiencia pública de fecha 03 de febrero de 2011</w:t>
      </w:r>
      <w:r w:rsidRPr="00F741E7">
        <w:rPr>
          <w:rFonts w:ascii="Tahoma" w:hAnsi="Tahoma" w:cs="Tahoma"/>
          <w:sz w:val="20"/>
          <w:szCs w:val="20"/>
        </w:rPr>
        <w:t>; y</w:t>
      </w:r>
      <w:r>
        <w:rPr>
          <w:rFonts w:ascii="Tahoma" w:hAnsi="Tahoma" w:cs="Tahoma"/>
          <w:sz w:val="20"/>
          <w:szCs w:val="20"/>
        </w:rPr>
        <w:t>,</w:t>
      </w:r>
      <w:r w:rsidRPr="00F741E7">
        <w:rPr>
          <w:rFonts w:ascii="Tahoma" w:hAnsi="Tahoma" w:cs="Tahoma"/>
          <w:sz w:val="20"/>
          <w:szCs w:val="20"/>
        </w:rPr>
        <w:t xml:space="preserve"> atendiendo a los siguientes:   </w:t>
      </w:r>
    </w:p>
    <w:p w:rsidR="00F741E7" w:rsidRPr="00F741E7" w:rsidRDefault="00F741E7" w:rsidP="004040E9">
      <w:pPr>
        <w:spacing w:after="0" w:line="240" w:lineRule="auto"/>
        <w:ind w:right="45"/>
        <w:jc w:val="both"/>
        <w:rPr>
          <w:rFonts w:ascii="Tahoma" w:hAnsi="Tahoma" w:cs="Tahoma"/>
          <w:sz w:val="20"/>
          <w:szCs w:val="20"/>
        </w:rPr>
      </w:pPr>
    </w:p>
    <w:p w:rsidR="00F741E7" w:rsidRPr="00F741E7" w:rsidRDefault="00F741E7" w:rsidP="004040E9">
      <w:pPr>
        <w:pStyle w:val="Ttulo2"/>
        <w:jc w:val="both"/>
        <w:rPr>
          <w:rFonts w:cs="Tahoma"/>
          <w:sz w:val="20"/>
        </w:rPr>
      </w:pPr>
      <w:r w:rsidRPr="00F741E7">
        <w:rPr>
          <w:rFonts w:cs="Tahoma"/>
          <w:sz w:val="20"/>
        </w:rPr>
        <w:t>ANTECEDENTES:</w:t>
      </w:r>
    </w:p>
    <w:p w:rsidR="00BB43A0" w:rsidRDefault="00BB43A0" w:rsidP="004040E9">
      <w:pPr>
        <w:pStyle w:val="Textoindependiente2"/>
        <w:spacing w:after="0" w:line="240" w:lineRule="auto"/>
        <w:ind w:left="540"/>
        <w:jc w:val="both"/>
        <w:rPr>
          <w:rFonts w:ascii="Tahoma" w:hAnsi="Tahoma" w:cs="Tahoma"/>
          <w:sz w:val="20"/>
          <w:szCs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 xml:space="preserve">El sábado 21 de junio de 2008, el Gobierno Regional del Callao, en lo sucesivo la Entidad, convocó la Licitación Pública Local № 004-2008-OEI-GRC, para el “cambio de redes de agua potable y alcantarillado en el A.H. Miguel Grau - Callao”, por el valor referencial ascendente a  S/. 2 847 172.04 nuevos soles, en virtud del Convenio de Cooperación Técnica suscrito entre la Entidad y la Organización de Estados Iberoamericanos para la Educación, la Ciencia y la Cultura, en adelante la OEI. </w:t>
      </w:r>
    </w:p>
    <w:p w:rsidR="00F741E7" w:rsidRPr="00F741E7" w:rsidRDefault="00F741E7" w:rsidP="004040E9">
      <w:pPr>
        <w:pStyle w:val="Textoindependiente2"/>
        <w:tabs>
          <w:tab w:val="num" w:pos="567"/>
        </w:tabs>
        <w:spacing w:after="0" w:line="240" w:lineRule="auto"/>
        <w:ind w:left="540"/>
        <w:jc w:val="both"/>
        <w:rPr>
          <w:rFonts w:ascii="Tahoma" w:hAnsi="Tahoma" w:cs="Tahoma"/>
          <w:sz w:val="20"/>
          <w:szCs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El 11 de julio de 2008 se otorgó la buena pro, resultando favorecido el Consorcio CALLAO, conformado por la empresa CVJ CONTRATISTAS GENERALES S.R.L. y ALE CONTRATISTAS GENERALES S.R.L., en adelante el Consorcio, por un monto ascendente a S/. 1`576,488.50 nuevos soles.</w:t>
      </w:r>
    </w:p>
    <w:p w:rsidR="00F741E7" w:rsidRPr="00F741E7" w:rsidRDefault="00F741E7" w:rsidP="004040E9">
      <w:pPr>
        <w:pStyle w:val="Prrafodelista"/>
        <w:tabs>
          <w:tab w:val="num" w:pos="567"/>
        </w:tabs>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El 19 de agosto de 2008, la Entidad y el Consorcio suscribieron el Contrato Nº 029-2008-GOBIERNO REGIONAL DEL CALLAO, por el cual el Contratista se obligaba a ejecutar la obra en el plazo de 180 días calendario.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Mediante Carta Nº 0118-2009-GRC/GRI, como consecuencia de reclamos por deudas pendientes, se solicitó informe al contratista sobre las deudas contraídas y asimismo, indique si ha existido alguna subcontratación al momento de realizar la obra.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lastRenderedPageBreak/>
        <w:t>Con Carta Nº 0025-200-CCEl 28 de abril de 2009, el Contratista indicó que la obra estaba siendo ejecutada íntegramente por su representada y que no había sub contrato alguno y que no existían deudas pendientes.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spacing w:after="0" w:line="240" w:lineRule="auto"/>
        <w:ind w:left="540"/>
        <w:jc w:val="both"/>
        <w:rPr>
          <w:rFonts w:ascii="Tahoma" w:hAnsi="Tahoma" w:cs="Tahoma"/>
          <w:sz w:val="20"/>
          <w:szCs w:val="20"/>
        </w:rPr>
      </w:pPr>
      <w:r w:rsidRPr="00F741E7">
        <w:rPr>
          <w:rFonts w:ascii="Tahoma" w:hAnsi="Tahoma" w:cs="Tahoma"/>
          <w:sz w:val="20"/>
          <w:szCs w:val="20"/>
        </w:rPr>
        <w:t>En la misma fecha se  realizó la constatación física de la obra, en la cual se constató que esta se encontraba prácticamente terminada, estando a la espera del pronunciamiento por parte de SEDAPAL.</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fecha 06 de agosto de 2009, se reciben cartas notariales de las empresas Ejecutoras de obras y Servicios S.A.C., LZ Comunicación Integral S.A.C. y Ferretería Eduardo Najarro, las cuales comunican a la Entidad sobre deudas económicas pendientes de pago, por servicios realizados en la obra y que estos servicios fueron dado a la empresa PRIMA CONTRATISTAS GENERALES S.R.L, sub contratista de la Obra.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Carta de fecha 12 de agosto de 2009, la empresa PRIMA CONTRATISTAS GENERALES S.R.L, solicitó a la Entidad que le permita tener acceso a la información relacionada al Consorcio Callao  en virtud a la ejecución de la obra derivada de la L.P.L. Nº 0004-2008-OEI-GRC.</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lang w:val="es-ES_tradnl"/>
        </w:rPr>
        <w:t>Con Carta Nº 214-2009-GRC/GRI, sustentada en el Informe Nº 137-2009-GRC/GRI de fecha 17 de agosto de 2009, se solicitó al Contratista información respecto de las deudas contraídas  y se precisó que la Entidad no avaló ni autorizó ninguna sub contratación durante el desarrollo de la obra.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escrito de fecha 04 de setiembre de 2009, la empresa PRIMA CONTRATISTAS GENERALES S.R.L solicitó a la Entidad que se deje de pagar o cancelar al Contratista el monto pendiente por la ejecución de la obra, pues se le adeudaba pagos por el subcontrato realizado.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spacing w:after="0" w:line="240" w:lineRule="auto"/>
        <w:ind w:left="540"/>
        <w:jc w:val="both"/>
        <w:rPr>
          <w:rFonts w:ascii="Tahoma" w:hAnsi="Tahoma" w:cs="Tahoma"/>
          <w:sz w:val="20"/>
          <w:szCs w:val="20"/>
        </w:rPr>
      </w:pPr>
      <w:r w:rsidRPr="00F741E7">
        <w:rPr>
          <w:rFonts w:ascii="Tahoma" w:hAnsi="Tahoma" w:cs="Tahoma"/>
          <w:sz w:val="20"/>
          <w:szCs w:val="20"/>
        </w:rPr>
        <w:t>Se adjuntó el Sub Contrato de Obra de fecha 28 de agosto de 2008</w:t>
      </w:r>
      <w:r w:rsidRPr="00F741E7">
        <w:rPr>
          <w:rStyle w:val="Refdenotaalpie"/>
          <w:rFonts w:ascii="Tahoma" w:hAnsi="Tahoma" w:cs="Tahoma"/>
          <w:sz w:val="20"/>
          <w:szCs w:val="20"/>
        </w:rPr>
        <w:footnoteReference w:id="2"/>
      </w:r>
      <w:r w:rsidRPr="00F741E7">
        <w:rPr>
          <w:rFonts w:ascii="Tahoma" w:hAnsi="Tahoma" w:cs="Tahoma"/>
          <w:sz w:val="20"/>
          <w:szCs w:val="20"/>
        </w:rPr>
        <w:t>, mediante el cual la empresa PRIMA CONTRATISTAS GENERALES S.R.L se comprometía a ejecutar el 75% de la obra, en estricta sujeción a las especificaciones técnicas y contrato celebrado entre el Contratista  y la Entidad, documentación que el sub contratista declara conocer.</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Carta Nº 250-2009-GRC/GRI, basado en el informe Nº 155-2009-GRC/GRI/OC-WFIM, de fecha 11 de setiembre de 2009, se comunicó al Contratista las denuncias presentadas, con la finalidad que se pronuncie al respecto. Documento al cual no dio respuesta el Contratista.</w:t>
      </w:r>
    </w:p>
    <w:p w:rsidR="00F741E7" w:rsidRPr="00F741E7" w:rsidRDefault="00F741E7" w:rsidP="004040E9">
      <w:pPr>
        <w:pStyle w:val="Textoindependiente2"/>
        <w:tabs>
          <w:tab w:val="num" w:pos="567"/>
        </w:tabs>
        <w:spacing w:after="0" w:line="240" w:lineRule="auto"/>
        <w:ind w:left="540"/>
        <w:jc w:val="both"/>
        <w:rPr>
          <w:rFonts w:ascii="Tahoma" w:hAnsi="Tahoma" w:cs="Tahoma"/>
          <w:sz w:val="20"/>
          <w:szCs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A través del Formulario de fecha 05 de agosto de 2010 y el escrito del 09 del mismo mes y año, la Entidad puso en conocimiento del Tribunal de Contrataciones del Estado, en adelante el Tribunal, la supuesta infracción incurrida por el Consorcio al haber realizado una subcontratación con la empresa PRIMA CONTRATISTAS GENERALES S.R.L sin autorización de la Entidad y por un porcentaje mayor al permitido al Reglamento.</w:t>
      </w:r>
    </w:p>
    <w:p w:rsidR="00F741E7" w:rsidRPr="00F741E7" w:rsidRDefault="00F741E7" w:rsidP="004040E9">
      <w:pPr>
        <w:pStyle w:val="Prrafodelista"/>
        <w:tabs>
          <w:tab w:val="num" w:pos="567"/>
        </w:tabs>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lastRenderedPageBreak/>
        <w:t>Mediante decreto de fecha 12 de agosto de 2010, el Tribunal inició el procedimiento administrativo sancionador al Consorcio por su supuesta responsabilidad en haber subcontratado sin autorización de la Entidad con la empresa PRIMA CONTRATISTAS GENERALES S.R.L, y lo requirió para que en el plazo de diez (10) días cumpliera con presentar su escrito de descargos.</w:t>
      </w:r>
    </w:p>
    <w:p w:rsidR="00F741E7" w:rsidRPr="00F741E7" w:rsidRDefault="00F741E7" w:rsidP="004040E9">
      <w:pPr>
        <w:pStyle w:val="Prrafodelista"/>
        <w:tabs>
          <w:tab w:val="num" w:pos="567"/>
        </w:tabs>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escrito presentado el 15 de octubre de 2010, el representante del Consorcio presentó su escrito de descargos en los siguientes términos:</w:t>
      </w:r>
    </w:p>
    <w:p w:rsidR="00F741E7" w:rsidRPr="00F741E7" w:rsidRDefault="00F741E7" w:rsidP="004040E9">
      <w:pPr>
        <w:pStyle w:val="Prrafodelista"/>
        <w:tabs>
          <w:tab w:val="num" w:pos="567"/>
        </w:tabs>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Solicitó se declaré no ha lugar a la aplicación de sanción por no existir medios probatorios que acrediten que se haya sub contratado total o parcialmente la obra, pues en todo momento el Contratista estuvo a cargo de la obra.</w:t>
      </w:r>
    </w:p>
    <w:p w:rsidR="00F741E7" w:rsidRPr="00F741E7" w:rsidRDefault="00F741E7" w:rsidP="004040E9">
      <w:pPr>
        <w:pStyle w:val="Prrafodelista"/>
        <w:widowControl/>
        <w:suppressAutoHyphens w:val="0"/>
        <w:ind w:left="1287"/>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El sub contrato por el cual la Entidad ha denunciado este ilícito, es en realidad un contrato de destajo o tareaje, suscrito de favor  como sub contrato para que la empresa PRIMA CONTRATISTAS GENERALES S.R.L. se generé una imagen positiva ante las entidades financieras, y en la eventualidad se inscriba en el R.N.P.</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Al concluirse la obra, la empresa destajadora exigió pagos para atender deudas a supuestos proveedores, a quienes había referido a quienes se había indicado que el referido deudor era el consorcio Callao y que de no realizarse los pagos, denunciarían a la entidad la supuesta sub contratación.</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Se demuestra que el consorcio Callao estuvo a cargo de la obra debido a que el Ing. Residente Raymundo Siancas Espinoza, propuesto en la oferta técnica, y estuvo permanentemente presente en la obra y a cargo del dirección técnica de la misma. Esto demuestra que el supuesto sub contratista nunca tuvo la dirección de la obra, pues solo se limitaba a realizar las funciones encomendadas por el ing. Residente.</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Adicionalmente, el referido sub contratista no ha presentado ninguna planilla de valorización ni metrados.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El Ing. Residente de Obra es quien ha firmado en todas las páginas del cuaderno de obra y en ninguna de ellas se hace referencia al sub contratista, pues jamás tuvo la dirección técnica y/o administración de la obra. Asimismo, en la recepción de la obra estuvo presente el ing. residente y no la empresa supuestamente sub contratada.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Independientemente de que no exista una prohibición expresa de  sub contratar, sino tan solo de ceder, transferir o subrogar el contrato, el hecho concreto es que el documento presentado jamás se ejecutó, porque no fue la voluntad de la partes, pues las ejecuciones a realizarse eran funciones especificas bajo la dirección técnica del Consorcio Callao.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Adicionalmente, debe indicarse que Prima Contratistas Generales S.R.L., no estaba inscrita en el RNP, por tanto no podía contratar con el Estado y asimismo, no ser subcontratista. Prima Contratistas Generales S.R.L. sí realizó trabajos pero no como subcontratista sino a destajo.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Prrafodelista"/>
        <w:widowControl/>
        <w:numPr>
          <w:ilvl w:val="0"/>
          <w:numId w:val="8"/>
        </w:numPr>
        <w:tabs>
          <w:tab w:val="num" w:pos="567"/>
        </w:tabs>
        <w:suppressAutoHyphens w:val="0"/>
        <w:ind w:hanging="294"/>
        <w:jc w:val="both"/>
        <w:rPr>
          <w:rFonts w:ascii="Tahoma" w:hAnsi="Tahoma" w:cs="Tahoma"/>
          <w:sz w:val="20"/>
        </w:rPr>
      </w:pPr>
      <w:r w:rsidRPr="00F741E7">
        <w:rPr>
          <w:rFonts w:ascii="Tahoma" w:hAnsi="Tahoma" w:cs="Tahoma"/>
          <w:sz w:val="20"/>
        </w:rPr>
        <w:t>Por tanto, de los actuados y en aplicación de los principios de primacía de la realidad, presunción de veracidad y razonabilidad no se advierte evidencia o elementos de juicio, que permitan afirmar la comisión de la infracción imputada.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Mediante decreto de fecha 22 de octubre de 2010, se tuvo por apersonado a los integrantes del Consorcio a la instancia administrativa y se remitió el expediente a la Primera Sala del Tribunal para que resolviera.</w:t>
      </w:r>
    </w:p>
    <w:p w:rsidR="00F741E7" w:rsidRPr="00F741E7" w:rsidRDefault="00F741E7" w:rsidP="004040E9">
      <w:pPr>
        <w:pStyle w:val="Textoindependiente2"/>
        <w:spacing w:after="0" w:line="240" w:lineRule="auto"/>
        <w:ind w:left="540"/>
        <w:jc w:val="both"/>
        <w:rPr>
          <w:rFonts w:ascii="Tahoma" w:hAnsi="Tahoma" w:cs="Tahoma"/>
          <w:sz w:val="20"/>
          <w:szCs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decreto de fecha 25 de enero de 2011, se convocó a diligencia de audiencia pública para el día 03 de febrero de 2011.</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El 03 de febrero de 2011 se llevó a cabo la diligencia de audiencia pública con intervención del representante de la Entidad y del Consorcio.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escrito de fecha 02 de febrero de 2011, el Contratista indicó que este Tribunal no  tenía competencia para pronunciarse respecto al hecho denunciado.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Mediante escrito de fecha 03 de febrero de 2011, el Contratista indicó que este Colegiado no tenía competencia para emitir pronunciamiento respecto a la supuesta infracción denunciada, toda vez que de acuerdo al literal r) del artículo 3º de la Ley de Contrataciones del Estado, no es de aplicación dicha normativa para los procesos de selección convocados en virtud de convenios de cooperación, gestión  u otros de naturaleza análoga, suscritos entre entidades o entre estas y organismos internacionales.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Con decreto de fecha 03 de febrero de 2011, se requirió a la Entidad que cumpla con remitir copia del Convenio de Cooperación Técnica suscrito entre la Organización de Estados Iberoamericanos.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rPr>
        <w:t>Mediante escrito de fecha 07 de febrero de 2011, el Contratista reiteró sus argumentos referidos a la no competencia del Tribunal para aplicar sanción en el presente caso.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7"/>
        </w:numPr>
        <w:tabs>
          <w:tab w:val="num" w:pos="567"/>
        </w:tabs>
        <w:spacing w:after="0" w:line="240" w:lineRule="auto"/>
        <w:ind w:left="540" w:hanging="540"/>
        <w:jc w:val="both"/>
        <w:rPr>
          <w:rFonts w:ascii="Tahoma" w:hAnsi="Tahoma" w:cs="Tahoma"/>
          <w:sz w:val="20"/>
          <w:szCs w:val="20"/>
        </w:rPr>
      </w:pPr>
      <w:r w:rsidRPr="00F741E7">
        <w:rPr>
          <w:rFonts w:ascii="Tahoma" w:hAnsi="Tahoma" w:cs="Tahoma"/>
          <w:sz w:val="20"/>
          <w:szCs w:val="20"/>
          <w:lang w:val="es-ES_tradnl"/>
        </w:rPr>
        <w:t xml:space="preserve">Mediante Oficio Nº 102-2011-GRC/GGR de fecha 15 de febrero de 2011, la Entidad remitió </w:t>
      </w:r>
      <w:r w:rsidRPr="00F741E7">
        <w:rPr>
          <w:rFonts w:ascii="Tahoma" w:hAnsi="Tahoma" w:cs="Tahoma"/>
          <w:sz w:val="20"/>
          <w:szCs w:val="20"/>
        </w:rPr>
        <w:t>copia del Convenio de Cooperación Técnica suscrito entre la Organización de Estados Iberoamericanos.</w:t>
      </w:r>
    </w:p>
    <w:p w:rsidR="00F741E7" w:rsidRPr="00F741E7" w:rsidRDefault="00F741E7" w:rsidP="004040E9">
      <w:pPr>
        <w:pStyle w:val="Prrafodelista"/>
        <w:ind w:left="567"/>
        <w:jc w:val="both"/>
        <w:rPr>
          <w:rFonts w:ascii="Tahoma" w:hAnsi="Tahoma" w:cs="Tahoma"/>
          <w:sz w:val="20"/>
          <w:lang w:val="es-ES"/>
        </w:rPr>
      </w:pPr>
    </w:p>
    <w:p w:rsidR="00F741E7" w:rsidRPr="00F741E7" w:rsidRDefault="00F741E7" w:rsidP="004040E9">
      <w:pPr>
        <w:tabs>
          <w:tab w:val="num" w:pos="9720"/>
        </w:tabs>
        <w:spacing w:after="0" w:line="240" w:lineRule="auto"/>
        <w:jc w:val="both"/>
        <w:rPr>
          <w:rFonts w:ascii="Tahoma" w:hAnsi="Tahoma" w:cs="Tahoma"/>
          <w:b/>
          <w:sz w:val="20"/>
          <w:szCs w:val="20"/>
        </w:rPr>
      </w:pPr>
      <w:r w:rsidRPr="00F741E7">
        <w:rPr>
          <w:rFonts w:ascii="Tahoma" w:hAnsi="Tahoma" w:cs="Tahoma"/>
          <w:b/>
          <w:sz w:val="20"/>
          <w:szCs w:val="20"/>
        </w:rPr>
        <w:t>FUNDAMENTACIÓN:</w:t>
      </w:r>
    </w:p>
    <w:p w:rsidR="00BB43A0" w:rsidRDefault="00BB43A0" w:rsidP="004040E9">
      <w:pPr>
        <w:pStyle w:val="Textoindependiente2"/>
        <w:spacing w:after="0" w:line="240" w:lineRule="auto"/>
        <w:ind w:left="567"/>
        <w:jc w:val="both"/>
        <w:rPr>
          <w:rFonts w:ascii="Tahoma" w:hAnsi="Tahoma" w:cs="Tahoma"/>
          <w:sz w:val="20"/>
          <w:szCs w:val="20"/>
        </w:rPr>
      </w:pPr>
    </w:p>
    <w:p w:rsidR="00F741E7" w:rsidRPr="00F741E7" w:rsidRDefault="00BB43A0" w:rsidP="004040E9">
      <w:pPr>
        <w:pStyle w:val="Textoindependiente2"/>
        <w:numPr>
          <w:ilvl w:val="0"/>
          <w:numId w:val="9"/>
        </w:numPr>
        <w:spacing w:after="0" w:line="240" w:lineRule="auto"/>
        <w:ind w:left="567" w:hanging="567"/>
        <w:jc w:val="both"/>
        <w:rPr>
          <w:rFonts w:ascii="Tahoma" w:hAnsi="Tahoma" w:cs="Tahoma"/>
          <w:sz w:val="20"/>
          <w:szCs w:val="20"/>
        </w:rPr>
      </w:pPr>
      <w:r>
        <w:rPr>
          <w:rFonts w:ascii="Tahoma" w:hAnsi="Tahoma" w:cs="Tahoma"/>
          <w:sz w:val="20"/>
          <w:szCs w:val="20"/>
        </w:rPr>
        <w:t>E</w:t>
      </w:r>
      <w:r w:rsidR="00F741E7" w:rsidRPr="00F741E7">
        <w:rPr>
          <w:rFonts w:ascii="Tahoma" w:hAnsi="Tahoma" w:cs="Tahoma"/>
          <w:sz w:val="20"/>
          <w:szCs w:val="20"/>
        </w:rPr>
        <w:t>l presente procedimiento administrativo sancionador ha sido iniciado a causa de la imputación formulada contra el Consorcio CALLAO, conformado por la empresa CVJ CONTRATISTAS GENERALES S.R.L. y ALE CONTRATISTAS GENERALES S.R.L., por supuesta responsabilidad en subcontratar sin autorización de la Entidad, en el marco de la Licitación Pública Local № 004-2008-OEI-GRC, para el “cambio de redes de agua potable y alcantarillado en el A.H. Miguel Grau - Callao”, infracción tipificada en el numeral 7) del artículo 294</w:t>
      </w:r>
      <w:r w:rsidR="00F741E7" w:rsidRPr="00F741E7">
        <w:rPr>
          <w:rStyle w:val="Refdenotaalpie"/>
          <w:rFonts w:ascii="Tahoma" w:hAnsi="Tahoma" w:cs="Tahoma"/>
          <w:sz w:val="20"/>
          <w:szCs w:val="20"/>
        </w:rPr>
        <w:footnoteReference w:id="3"/>
      </w:r>
      <w:r w:rsidR="00F741E7" w:rsidRPr="00F741E7">
        <w:rPr>
          <w:rFonts w:ascii="Tahoma" w:hAnsi="Tahoma" w:cs="Tahoma"/>
          <w:sz w:val="20"/>
          <w:szCs w:val="20"/>
        </w:rPr>
        <w:t xml:space="preserve"> del Reglamento de la Ley de Contrataciones y </w:t>
      </w:r>
      <w:r w:rsidR="00F741E7" w:rsidRPr="00F741E7">
        <w:rPr>
          <w:rFonts w:ascii="Tahoma" w:hAnsi="Tahoma" w:cs="Tahoma"/>
          <w:sz w:val="20"/>
          <w:szCs w:val="20"/>
        </w:rPr>
        <w:lastRenderedPageBreak/>
        <w:t>Adquisiciones del Estado aprobado mediante Decreto Supremo Nº 084-2004-PCM, en lo sucesivo el Reglamento, norma vigente al momento de suscitarse los hechos imputados.</w:t>
      </w:r>
    </w:p>
    <w:p w:rsidR="00F741E7" w:rsidRPr="00F741E7" w:rsidRDefault="00F741E7" w:rsidP="004040E9">
      <w:pPr>
        <w:pStyle w:val="Textoindependiente2"/>
        <w:spacing w:after="0" w:line="240" w:lineRule="auto"/>
        <w:ind w:left="567"/>
        <w:jc w:val="both"/>
        <w:rPr>
          <w:rFonts w:ascii="Tahoma" w:hAnsi="Tahoma" w:cs="Tahoma"/>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En ese sentido, considerando el momento de la producción de los hechos materia de la imputación, la determinación de la presente infracción administrativa debe ser analizada de conformidad con el Texto Único Ordenado de la Ley de Contrataciones y Adquisiciones del Estado y su Reglamento, aprobados mediante Decretos Supremos Nº 083-2004-PCM y Nº 084-2004-PCM, en lo sucesivo la Ley y el Reglamento.</w:t>
      </w:r>
    </w:p>
    <w:p w:rsidR="00F741E7" w:rsidRPr="00F741E7" w:rsidRDefault="00F741E7" w:rsidP="004040E9">
      <w:pPr>
        <w:pStyle w:val="Textoindependiente2"/>
        <w:spacing w:after="0" w:line="240" w:lineRule="auto"/>
        <w:ind w:left="567"/>
        <w:jc w:val="both"/>
        <w:rPr>
          <w:rFonts w:ascii="Tahoma" w:hAnsi="Tahoma" w:cs="Tahoma"/>
          <w:sz w:val="20"/>
          <w:szCs w:val="20"/>
        </w:rPr>
      </w:pPr>
      <w:r w:rsidRPr="00F741E7">
        <w:rPr>
          <w:rFonts w:ascii="Tahoma" w:hAnsi="Tahoma" w:cs="Tahoma"/>
          <w:sz w:val="20"/>
          <w:szCs w:val="20"/>
        </w:rPr>
        <w:t xml:space="preserve"> </w:t>
      </w:r>
    </w:p>
    <w:p w:rsidR="00F741E7" w:rsidRPr="00F741E7" w:rsidRDefault="00F741E7" w:rsidP="004040E9">
      <w:pPr>
        <w:ind w:left="567"/>
        <w:jc w:val="both"/>
        <w:rPr>
          <w:rFonts w:ascii="Tahoma" w:hAnsi="Tahoma" w:cs="Tahoma"/>
          <w:b/>
          <w:bCs/>
          <w:i/>
          <w:iCs/>
          <w:sz w:val="20"/>
          <w:szCs w:val="20"/>
        </w:rPr>
      </w:pPr>
      <w:r w:rsidRPr="00F741E7">
        <w:rPr>
          <w:rFonts w:ascii="Tahoma" w:hAnsi="Tahoma" w:cs="Tahoma"/>
          <w:b/>
          <w:bCs/>
          <w:i/>
          <w:iCs/>
          <w:sz w:val="20"/>
          <w:szCs w:val="20"/>
        </w:rPr>
        <w:t>Cuestión Previa: La Competencia Del Tribunal</w:t>
      </w: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b/>
          <w:bCs/>
          <w:sz w:val="20"/>
          <w:szCs w:val="20"/>
        </w:rPr>
      </w:pPr>
      <w:r w:rsidRPr="00F741E7">
        <w:rPr>
          <w:rFonts w:ascii="Tahoma" w:hAnsi="Tahoma" w:cs="Tahoma"/>
          <w:sz w:val="20"/>
          <w:szCs w:val="20"/>
        </w:rPr>
        <w:t>En principio, y como cuestión previa, corresponde verificar si el Tribunal es competente para emitir pronunciamiento respecto de la imputación planteada por la Entidad, para lo cual deberá efectuarse un análisis sobre la normativa aplicable al presente caso.</w:t>
      </w:r>
    </w:p>
    <w:p w:rsidR="00F741E7" w:rsidRPr="00F741E7" w:rsidRDefault="00F741E7" w:rsidP="004040E9">
      <w:pPr>
        <w:pStyle w:val="Textoindependiente2"/>
        <w:spacing w:after="0" w:line="240" w:lineRule="auto"/>
        <w:ind w:left="284"/>
        <w:jc w:val="both"/>
        <w:rPr>
          <w:rFonts w:ascii="Tahoma" w:hAnsi="Tahoma" w:cs="Tahoma"/>
          <w:b/>
          <w:bCs/>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Habiéndose advertido que el presente procedimiento deriva de una negociación directa realizada al amparo de un Convenio suscrito entre la Entidad y la Organización de Estados Iberoamericanos para la Educación, la Ciencia y la Cultura (OEI), resulta pertinente evaluar el marco normativo que rige el citado proceso, a fin de determinar la competencia  de este Tribunal en la denuncia que nos ocupa.</w:t>
      </w:r>
    </w:p>
    <w:p w:rsidR="00F741E7" w:rsidRPr="00F741E7" w:rsidRDefault="00F741E7" w:rsidP="004040E9">
      <w:pPr>
        <w:pStyle w:val="Prrafodelista"/>
        <w:ind w:left="709"/>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De la documentación obrante en autos, se advierte que la Entidad y la OEI suscribieron el 18  de junio de 2008, el Convenio Internacional con duración de un año, cuyo objeto es que la OEI conduzca el presente proceso de selección, referido a la ejecución de la obra “cambio de redes de agua potable y alcantarillado en el A.H. Miguel Grau - Callao”.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Dentro de este contexto, la OEI asumió como parte de sus obligaciones la responsabilidad, a solicitud y por cuenta de la Entidad, de elaborar las bases del proceso, elaborar el proyecto de contrato a ser suscrito con el ganador de la buena pro, efectuar las convocatorias, evaluar las propuestas técnicas, atender los procesos impugnatorios, otorgar la buena pro, y las demás obligaciones establecidas en el convenio marco. Adicionalmente, </w:t>
      </w:r>
      <w:r w:rsidRPr="00F741E7">
        <w:rPr>
          <w:rFonts w:ascii="Tahoma" w:hAnsi="Tahoma" w:cs="Tahoma"/>
          <w:b/>
          <w:bCs/>
          <w:sz w:val="20"/>
          <w:szCs w:val="20"/>
        </w:rPr>
        <w:t>según la cláusula sexta, referida al monto del financiamiento, se indica que el monto de la comisión  a favor de la OEI ascendía al 3% del valor referencial del proyecto de inversión pública</w:t>
      </w:r>
      <w:r w:rsidRPr="00F741E7">
        <w:rPr>
          <w:rFonts w:ascii="Tahoma" w:hAnsi="Tahoma" w:cs="Tahoma"/>
          <w:sz w:val="20"/>
          <w:szCs w:val="20"/>
        </w:rPr>
        <w:t>.</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Al respecto, la Cláusula Primera del Convenio Internacional estableció como base legal, entre otras normas, el Texto Único Ordenado de la Ley de Contrataciones y Adquisiciones del Estado y su Reglamento, aprobados mediante Decretos Supremos Nº 083-2004-PCM y Nº 084-2004-PCM, y la Opinión Legal Nº 002-2007/GNP del 09 de enero del 2007 -respecto de la interpretación que dio CONSUCODE sobre la </w:t>
      </w:r>
      <w:r w:rsidRPr="00F741E7">
        <w:rPr>
          <w:rFonts w:ascii="Tahoma" w:hAnsi="Tahoma" w:cs="Tahoma"/>
          <w:sz w:val="20"/>
          <w:szCs w:val="20"/>
        </w:rPr>
        <w:lastRenderedPageBreak/>
        <w:t xml:space="preserve">aplicación de la Tercera Disposición Complementaria de la Ley-, la misma que señala que </w:t>
      </w:r>
      <w:r w:rsidRPr="00F741E7">
        <w:rPr>
          <w:rFonts w:ascii="Tahoma" w:hAnsi="Tahoma" w:cs="Tahoma"/>
          <w:i/>
          <w:iCs/>
          <w:sz w:val="20"/>
          <w:szCs w:val="20"/>
        </w:rPr>
        <w:t>“(…) Las contrataciones</w:t>
      </w:r>
      <w:r w:rsidRPr="00F741E7">
        <w:rPr>
          <w:rFonts w:ascii="Tahoma" w:hAnsi="Tahoma" w:cs="Tahoma"/>
          <w:sz w:val="20"/>
          <w:szCs w:val="20"/>
        </w:rPr>
        <w:t xml:space="preserve"> </w:t>
      </w:r>
      <w:r w:rsidRPr="00F741E7">
        <w:rPr>
          <w:rFonts w:ascii="Tahoma" w:hAnsi="Tahoma" w:cs="Tahoma"/>
          <w:i/>
          <w:iCs/>
          <w:sz w:val="20"/>
          <w:szCs w:val="20"/>
        </w:rPr>
        <w:t>y adquisiciones derivadas de convenio internacionales deben sujetarse a lo establecido en los respectivos convenios, conforme fue aclarado con la incorporación de la Sexta Disposición Final del reglamento, por tanto, no cabría aplicar el porcentaje mínimo establecido en la Tercera Disposición Complementaria de la Ley. // Las contrataciones y adquisiciones con fondos de contrapartida nacional se sujetarán a lo regulado en los convenios internacionales”</w:t>
      </w:r>
      <w:r w:rsidRPr="00F741E7">
        <w:rPr>
          <w:rFonts w:ascii="Tahoma" w:hAnsi="Tahoma" w:cs="Tahoma"/>
          <w:sz w:val="20"/>
          <w:szCs w:val="20"/>
        </w:rPr>
        <w:t xml:space="preserve"> (SIC).</w:t>
      </w:r>
    </w:p>
    <w:p w:rsidR="00F741E7" w:rsidRPr="00F741E7" w:rsidRDefault="00F741E7" w:rsidP="004040E9">
      <w:pPr>
        <w:pStyle w:val="Textoindependiente2"/>
        <w:spacing w:after="0" w:line="240" w:lineRule="auto"/>
        <w:ind w:left="540"/>
        <w:jc w:val="both"/>
        <w:rPr>
          <w:rFonts w:ascii="Tahoma" w:hAnsi="Tahoma" w:cs="Tahoma"/>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Adviértase que según lo dispuesto en el numeral 1.6 de las Bases de la indicada licitación, la base legal se encuentra constituida por el Convenio de Cooperación Técnica suscrito entre la OEI y la Entidad y, supletoriamente, la Ley de Contrataciones y Adquisiciones del Estado Peruano y su Reglamento, </w:t>
      </w:r>
      <w:r w:rsidRPr="00F741E7">
        <w:rPr>
          <w:rFonts w:ascii="Tahoma" w:hAnsi="Tahoma" w:cs="Tahoma"/>
          <w:sz w:val="20"/>
          <w:szCs w:val="20"/>
          <w:u w:val="single"/>
        </w:rPr>
        <w:t>únicamente en lo que se refiere a las relaciones contractuales derivadas del presente proceso</w:t>
      </w:r>
      <w:r w:rsidRPr="00F741E7">
        <w:rPr>
          <w:rFonts w:ascii="Tahoma" w:hAnsi="Tahoma" w:cs="Tahoma"/>
          <w:sz w:val="20"/>
          <w:szCs w:val="20"/>
        </w:rPr>
        <w:t>.</w:t>
      </w:r>
    </w:p>
    <w:p w:rsidR="00F741E7" w:rsidRPr="00F741E7" w:rsidRDefault="00F741E7" w:rsidP="004040E9">
      <w:pPr>
        <w:pStyle w:val="Prrafodelista"/>
        <w:ind w:left="709"/>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b/>
          <w:bCs/>
          <w:sz w:val="20"/>
          <w:szCs w:val="20"/>
        </w:rPr>
      </w:pPr>
      <w:r w:rsidRPr="00F741E7">
        <w:rPr>
          <w:rFonts w:ascii="Tahoma" w:hAnsi="Tahoma" w:cs="Tahoma"/>
          <w:sz w:val="20"/>
          <w:szCs w:val="20"/>
        </w:rPr>
        <w:t>Atendiendo a lo expuesto, el numeral 1.6 “Base Legal” de las Bases establece el “</w:t>
      </w:r>
      <w:r w:rsidRPr="00F741E7">
        <w:rPr>
          <w:rFonts w:ascii="Tahoma" w:hAnsi="Tahoma" w:cs="Tahoma"/>
          <w:i/>
          <w:iCs/>
          <w:sz w:val="20"/>
          <w:szCs w:val="20"/>
        </w:rPr>
        <w:t xml:space="preserve">Convenio de cooperación técnica suscrito entre la Organización de estados Iberoamericanos para la Educación, la Ciencia y la Cultura – OEI y el Gobierno Regional de Ancash, y </w:t>
      </w:r>
      <w:r w:rsidRPr="00F741E7">
        <w:rPr>
          <w:rFonts w:ascii="Tahoma" w:hAnsi="Tahoma" w:cs="Tahoma"/>
          <w:i/>
          <w:iCs/>
          <w:sz w:val="20"/>
          <w:szCs w:val="20"/>
          <w:u w:val="single"/>
        </w:rPr>
        <w:t>supletoriamente la Ley de Contrataciones y Adquisiciones del Estado Peruano y su reglamento, únicamente en lo que se refiere a las relaciones contractuales derivadas del presente proceso</w:t>
      </w:r>
      <w:r w:rsidRPr="00F741E7">
        <w:rPr>
          <w:rStyle w:val="Refdenotaalpie"/>
          <w:rFonts w:ascii="Tahoma" w:hAnsi="Tahoma" w:cs="Tahoma"/>
          <w:i/>
          <w:iCs/>
          <w:sz w:val="20"/>
          <w:szCs w:val="20"/>
          <w:u w:val="single"/>
        </w:rPr>
        <w:footnoteReference w:id="4"/>
      </w:r>
      <w:r w:rsidRPr="00F741E7">
        <w:rPr>
          <w:rFonts w:ascii="Tahoma" w:hAnsi="Tahoma" w:cs="Tahoma"/>
          <w:sz w:val="20"/>
          <w:szCs w:val="20"/>
        </w:rPr>
        <w:t>” (SIC). Asimismo, el numeral 1.7 de las Bases regula su propio procedimiento al señalar que se rige por los procedimientos de la OEI establecidos en las Bases.</w:t>
      </w:r>
    </w:p>
    <w:p w:rsidR="00F741E7" w:rsidRPr="00F741E7" w:rsidRDefault="00F741E7" w:rsidP="004040E9">
      <w:pPr>
        <w:pStyle w:val="Prrafodelista"/>
        <w:jc w:val="both"/>
        <w:rPr>
          <w:rFonts w:ascii="Tahoma" w:hAnsi="Tahoma" w:cs="Tahoma"/>
          <w:b/>
          <w:bCs/>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Por su parte, el literal e) del Anexo Nº 04 “Modelo de declaración jurada del postor” refiere que “</w:t>
      </w:r>
      <w:r w:rsidRPr="00F741E7">
        <w:rPr>
          <w:rFonts w:ascii="Tahoma" w:hAnsi="Tahoma" w:cs="Tahoma"/>
          <w:i/>
          <w:iCs/>
          <w:sz w:val="20"/>
          <w:szCs w:val="20"/>
        </w:rPr>
        <w:t>Conoce las sanciones contenidas en la Ley de Contrataciones y Adquisiciones del Estado y su Reglamento y demás disposiciones reglamentarias, complementarias y modificatorias</w:t>
      </w:r>
      <w:r w:rsidRPr="00F741E7">
        <w:rPr>
          <w:rFonts w:ascii="Tahoma" w:hAnsi="Tahoma" w:cs="Tahoma"/>
          <w:sz w:val="20"/>
          <w:szCs w:val="20"/>
        </w:rPr>
        <w:t xml:space="preserve">”. Aunado a ello, el numeral 6.7 “De las sanciones” de las Bases señaló que </w:t>
      </w:r>
      <w:r w:rsidRPr="00F741E7">
        <w:rPr>
          <w:rFonts w:ascii="Tahoma" w:hAnsi="Tahoma" w:cs="Tahoma"/>
          <w:i/>
          <w:iCs/>
          <w:sz w:val="20"/>
          <w:szCs w:val="20"/>
        </w:rPr>
        <w:t xml:space="preserve">“En </w:t>
      </w:r>
      <w:r w:rsidRPr="00F741E7">
        <w:rPr>
          <w:rFonts w:ascii="Tahoma" w:hAnsi="Tahoma" w:cs="Tahoma"/>
          <w:i/>
          <w:iCs/>
          <w:snapToGrid w:val="0"/>
          <w:sz w:val="20"/>
          <w:szCs w:val="20"/>
        </w:rPr>
        <w:t>el caso de retraso injustificado en el inicio de los trabajos, así como en la ejecución de la obra, la entidad contratante aplicará lo dispuesto en la legislación local sobre la materia</w:t>
      </w:r>
      <w:r w:rsidRPr="00F741E7">
        <w:rPr>
          <w:rFonts w:ascii="Tahoma" w:hAnsi="Tahoma" w:cs="Tahoma"/>
          <w:snapToGrid w:val="0"/>
          <w:sz w:val="20"/>
          <w:szCs w:val="20"/>
        </w:rPr>
        <w:t xml:space="preserve">”. </w:t>
      </w:r>
    </w:p>
    <w:p w:rsidR="00F741E7" w:rsidRPr="00F741E7" w:rsidRDefault="00F741E7" w:rsidP="004040E9">
      <w:pPr>
        <w:pStyle w:val="Prrafodelista"/>
        <w:jc w:val="both"/>
        <w:rPr>
          <w:rFonts w:ascii="Tahoma" w:hAnsi="Tahoma" w:cs="Tahoma"/>
          <w:sz w:val="20"/>
          <w:lang w:val="es-PE"/>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Dentro de este contexto, queda claro que conforme a la base legal establecida en las Bases del Proceso de selección, resulta de aplicación la Ley de Contrataciones y Adquisiciones del Estado Peruano y su Reglamento, únicamente en lo que se refiere a las relaciones contractuales derivadas de dicho proceso. Es decir, a partir de que el otorgamiento de la buena Pro quede en la condición de firme. Consecuentemente, debe entenderse que las sanciones que establezca la normativa de Contratación del Estado Peruano resultan factibles de aplicación, a partir de dicho momento (buena pro firme). Puntualmente esto se verifica en los numerales 6.2 y 6.7 de las Bases del proceso, al que voluntariamente se sometieron los postores.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Adicionalmente, debe indicarse que el referido razonamiento ha sido esbozado anteriormente en el voto en discordia elaborado a razón de la Resolución Nº  2555/2009.TC-S1</w:t>
      </w:r>
      <w:r w:rsidRPr="00F741E7">
        <w:rPr>
          <w:rStyle w:val="Refdenotaalpie"/>
          <w:rFonts w:ascii="Tahoma" w:hAnsi="Tahoma" w:cs="Tahoma"/>
          <w:sz w:val="20"/>
          <w:szCs w:val="20"/>
        </w:rPr>
        <w:footnoteReference w:id="5"/>
      </w:r>
      <w:r w:rsidRPr="00F741E7">
        <w:rPr>
          <w:rFonts w:ascii="Tahoma" w:hAnsi="Tahoma" w:cs="Tahoma"/>
          <w:sz w:val="20"/>
          <w:szCs w:val="20"/>
        </w:rPr>
        <w:t xml:space="preserve">, mediante el cual, se concluyó la competencia de este Colegido, no sólo por los argumentos ya descritos, sino en virtud a la Carta OEI 2794/2009 </w:t>
      </w:r>
      <w:r w:rsidRPr="00F741E7">
        <w:rPr>
          <w:rFonts w:ascii="Tahoma" w:hAnsi="Tahoma" w:cs="Tahoma"/>
          <w:sz w:val="20"/>
          <w:szCs w:val="20"/>
        </w:rPr>
        <w:lastRenderedPageBreak/>
        <w:t>presentada ante este Tribunal por la propia OEI, en la que a partir del otorgamiento de la buena pro y que esta queda en condición firme, se aplica la normativa de contrataciones del Estado. Asimismo, se señaló que las sanciones que establezca la normativa de contrataciones del Estado resultan de aplicación a partir de que el otorgamiento de la buena pro haya quedado firme.</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En ese orden de ideas, corresponde a este Colegiado emitir pronunciamiento respecto de los hechos denunciados.</w:t>
      </w:r>
    </w:p>
    <w:p w:rsidR="00F741E7" w:rsidRPr="00F741E7" w:rsidRDefault="00F741E7" w:rsidP="004040E9">
      <w:pPr>
        <w:pStyle w:val="Textoindependiente2"/>
        <w:spacing w:after="0" w:line="240" w:lineRule="auto"/>
        <w:jc w:val="both"/>
        <w:rPr>
          <w:rFonts w:ascii="Tahoma" w:hAnsi="Tahoma" w:cs="Tahoma"/>
          <w:b/>
          <w:bCs/>
          <w:i/>
          <w:iCs/>
          <w:sz w:val="20"/>
          <w:szCs w:val="20"/>
        </w:rPr>
      </w:pPr>
    </w:p>
    <w:p w:rsidR="00F741E7" w:rsidRPr="00F741E7" w:rsidRDefault="00F741E7" w:rsidP="004040E9">
      <w:pPr>
        <w:pStyle w:val="Textoindependiente2"/>
        <w:spacing w:after="0" w:line="240" w:lineRule="auto"/>
        <w:jc w:val="both"/>
        <w:rPr>
          <w:rFonts w:ascii="Tahoma" w:hAnsi="Tahoma" w:cs="Tahoma"/>
          <w:b/>
          <w:bCs/>
          <w:i/>
          <w:iCs/>
          <w:sz w:val="20"/>
          <w:szCs w:val="20"/>
        </w:rPr>
      </w:pPr>
      <w:r w:rsidRPr="00F741E7">
        <w:rPr>
          <w:rFonts w:ascii="Tahoma" w:hAnsi="Tahoma" w:cs="Tahoma"/>
          <w:b/>
          <w:bCs/>
          <w:i/>
          <w:iCs/>
          <w:sz w:val="20"/>
          <w:szCs w:val="20"/>
        </w:rPr>
        <w:t>Respecto a la supuesta subcontratación sin autorización de la Entidad</w:t>
      </w:r>
    </w:p>
    <w:p w:rsidR="00F741E7" w:rsidRPr="00F741E7" w:rsidRDefault="00F741E7" w:rsidP="004040E9">
      <w:pPr>
        <w:pStyle w:val="Textoindependiente2"/>
        <w:spacing w:after="0" w:line="240" w:lineRule="auto"/>
        <w:jc w:val="both"/>
        <w:rPr>
          <w:rFonts w:ascii="Tahoma" w:hAnsi="Tahoma" w:cs="Tahoma"/>
          <w:b/>
          <w:bCs/>
          <w:i/>
          <w:iCs/>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Debemos comenzar precisando que la infracción tipificada en el numeral 7) del artículo 294º de El Reglamento consiste en la realización, por parte del contratista, de alguna subcontratación: (i) sin contar con la autorización de La Entidad o (ii) por un porcentaje mayor al permitido en El Reglamento.</w:t>
      </w:r>
    </w:p>
    <w:p w:rsidR="00F741E7" w:rsidRPr="00F741E7" w:rsidRDefault="00F741E7" w:rsidP="004040E9">
      <w:pPr>
        <w:pStyle w:val="Textoindependiente2"/>
        <w:spacing w:after="0" w:line="240" w:lineRule="auto"/>
        <w:ind w:left="567"/>
        <w:jc w:val="both"/>
        <w:rPr>
          <w:rFonts w:ascii="Tahoma" w:hAnsi="Tahoma" w:cs="Tahoma"/>
          <w:sz w:val="20"/>
          <w:szCs w:val="20"/>
        </w:rPr>
      </w:pPr>
    </w:p>
    <w:p w:rsidR="00F741E7" w:rsidRPr="00F741E7" w:rsidRDefault="00F741E7" w:rsidP="004040E9">
      <w:pPr>
        <w:spacing w:line="240" w:lineRule="auto"/>
        <w:ind w:left="567"/>
        <w:jc w:val="both"/>
        <w:rPr>
          <w:rFonts w:ascii="Tahoma" w:hAnsi="Tahoma" w:cs="Tahoma"/>
          <w:sz w:val="20"/>
          <w:szCs w:val="20"/>
        </w:rPr>
      </w:pPr>
      <w:r w:rsidRPr="00F741E7">
        <w:rPr>
          <w:rFonts w:ascii="Tahoma" w:hAnsi="Tahoma" w:cs="Tahoma"/>
          <w:sz w:val="20"/>
          <w:szCs w:val="20"/>
          <w:lang w:val="es-MX"/>
        </w:rPr>
        <w:t>En ese sentido,</w:t>
      </w:r>
      <w:r w:rsidRPr="00F741E7">
        <w:rPr>
          <w:rFonts w:ascii="Tahoma" w:hAnsi="Tahoma" w:cs="Tahoma"/>
          <w:sz w:val="20"/>
          <w:szCs w:val="20"/>
        </w:rPr>
        <w:t xml:space="preserve"> debemos tener presente lo dispuesto por el artículo 208</w:t>
      </w:r>
      <w:r w:rsidRPr="00F741E7">
        <w:rPr>
          <w:rStyle w:val="Refdenotaalpie"/>
          <w:rFonts w:ascii="Tahoma" w:hAnsi="Tahoma" w:cs="Tahoma"/>
          <w:sz w:val="20"/>
          <w:szCs w:val="20"/>
        </w:rPr>
        <w:footnoteReference w:id="6"/>
      </w:r>
      <w:r w:rsidRPr="00F741E7">
        <w:rPr>
          <w:rFonts w:ascii="Tahoma" w:hAnsi="Tahoma" w:cs="Tahoma"/>
          <w:sz w:val="20"/>
          <w:szCs w:val="20"/>
        </w:rPr>
        <w:t xml:space="preserve"> del Reglamento que establece que salvo prohibición expresa prevista en dicho cuerpo normativo, en las Bases o el Contrato, el contratista puede convenir con terceros la subcontratación de parte de las prestaciones a su cargo siempre que la entidad lo apruebe por escrito y de manera previa. Así también el referido artículo indica que, si transcurrido 5 días de formulado el pedido de subcontratación por parte del contratista, la entidad no le comunica su respuesta se considera que el pedido ha sido aprobado. Por otro lado señala también que las prestaciones a subcontratarse no deben exceder el 60% del monto del contrato original.</w:t>
      </w: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Entonces </w:t>
      </w:r>
      <w:r w:rsidRPr="00F741E7">
        <w:rPr>
          <w:rFonts w:ascii="Tahoma" w:hAnsi="Tahoma" w:cs="Tahoma"/>
          <w:sz w:val="20"/>
          <w:szCs w:val="20"/>
          <w:lang w:val="es-MX"/>
        </w:rPr>
        <w:t xml:space="preserve">para </w:t>
      </w:r>
      <w:r w:rsidRPr="00F741E7">
        <w:rPr>
          <w:rFonts w:ascii="Tahoma" w:hAnsi="Tahoma" w:cs="Tahoma"/>
          <w:sz w:val="20"/>
          <w:szCs w:val="20"/>
        </w:rPr>
        <w:t>la configuración de los supuestos de hecho de la norma que contiene la infracción imputada se requiere acreditar que El Contratista subcontrató parte de las prestaciones a su cargo sin contar con autorización previa y escrita por parte de La Entidad, o que El Contratista subcontrató por más del 60% del monto del contrato suscrito.</w:t>
      </w:r>
    </w:p>
    <w:p w:rsidR="00F741E7" w:rsidRPr="00F741E7" w:rsidRDefault="00F741E7" w:rsidP="004040E9">
      <w:pPr>
        <w:pStyle w:val="Textoindependiente2"/>
        <w:spacing w:after="0" w:line="240" w:lineRule="auto"/>
        <w:ind w:left="567"/>
        <w:jc w:val="both"/>
        <w:rPr>
          <w:rFonts w:ascii="Tahoma" w:hAnsi="Tahoma" w:cs="Tahoma"/>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En relación al caso materia de controversia, de la lectura de los términos de referencia, contenidos en las Bases del proceso de selección, se puede verificar que El Contratista se comprometió a ejecutar la obra en estricto cumplimiento a las Bases administrativas, cuyo plazo de vigencia era de 180 días calendario, habiéndose suscrito el contrato el 19 de agosto de 2008. </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lang w:val="es-ES_tradnl"/>
        </w:rPr>
        <w:t xml:space="preserve">El 28 de agosto de 2008, a </w:t>
      </w:r>
      <w:r w:rsidRPr="00F741E7">
        <w:rPr>
          <w:rFonts w:ascii="Tahoma" w:hAnsi="Tahoma" w:cs="Tahoma"/>
          <w:sz w:val="20"/>
          <w:szCs w:val="20"/>
        </w:rPr>
        <w:t xml:space="preserve">09 días de haberse suscrito el contrato, el Contratista Consorcio Callao y la empresa Prima Contratistas Generales S.R.L., en adelante el subcontratista, suscribieron el Subcontrato de Obra mediante el cual, esta última se comprometía a ejecutar el 75% de la obra, en estricta sujeción a las especificaciones técnicas y al contrato celebrado entre el contratista y la Entidad. El monto del </w:t>
      </w:r>
      <w:r w:rsidRPr="00F741E7">
        <w:rPr>
          <w:rFonts w:ascii="Tahoma" w:hAnsi="Tahoma" w:cs="Tahoma"/>
          <w:sz w:val="20"/>
          <w:szCs w:val="20"/>
        </w:rPr>
        <w:lastRenderedPageBreak/>
        <w:t>subcontrato ascendía a S/. 1`069,860.36 Nuevos Soles. Dicho contrato fue suscrito por el Representante del contratista, Sr. Carlos Palacios Meza y se estableció una clausula de confidencialidad, según la cual, las partes estaban obligadas a guardar una estricta confidencialidad  sobre el referido acuerdo de partes, quedando restringida la publicidad del mismo.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En relación a dicho contrato privado, el cual las partes mantuvieron en confidencialidad, la Entidad con Informe Legal Nº 32-2010-GRC/GRI-CCGS, indicó que no le fue comunicada ningún tipo de subcontratación y que por ello no se le otorgó al Contratista la autorización para tales fines, toda vez que el Contrato Nº 029-2008-GOBIERNO REGIONAL DEL CALLAO, en su Cláusula Décima dispuso que bajo ningún concepto podría cederse, transferir o subrogar total o parcialmente las obligaciones contraídas.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En tal sentido, de lo descrito, se evidencia que el Contratista concertó  la ejecución de una parte de sus obligaciones contractuales con el subcontratista, sin contar con la anuencia de la Entidad, contraviniendo lo establecido tanto en el Contrato Nº 029-2008-GOBIERNO REGIONAL DEL CALLAO, como en la normativa especial que regula las compras estatales, con la evidente finalidad de entregar la ejecución de la obra a un tercero, el mismo que ejecutaría las prestaciones a cargo de la Contratista; motivo por el cual se ha configurado la causal tipificada como sancionable.</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Como argumento de defensa, el Contratista solicitó que se declaré no ha lugar a la aplicación de sanción por no existir medios probatorios que acrediten que se haya sub contratado total o parcialmente la obra, pues en todo momento estuvo a cargo de la misma, toda vez que el contrato denunciado en realidad consistía en un contrato de destajo o tareaje, suscrito de favor  como sub contrato para que la empresa PRIMA CONTRATISTAS GENERALES S.R.L. se generé una imagen positiva ante las entidades financieras, y en la eventualidad se inscriba en el R.N.P.</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Al respecto, debe señalarse al contratista que el contrato privado suscrito con el subcontratista consiste en un acuerdo de voluntades destinado a crear, regular, modificar o extinguir una relación de contenido patrimonial, para lo cual, cada una expresa su voluntad en virtud a los derechos o beneficios que desee ostentar y las obligaciones o deberes que desea asumir, y es en virtud a lo plasmado por ambos contratantes que se debe evaluar las consecuencias de dicho acuerdo.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lang w:val="es-ES_tradnl"/>
        </w:rPr>
        <w:t>En virtud a ello, el contratista alega que la naturaleza real del contrato no consistía en  uno de ejecución de obra, sino en un contrato de destajo, es decir, la relación por la cual se contrata a una persona determinada a efectos que realice funciones especificas bajo supervisión del contratante y se le factura por el trabajo realizado.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Dicha afirmación se contradice directamente con lo afirmado por la empresa PRIMA CONTRATISTAS GENERALES S.R.L., y sustentado mediante la Carta Notarial de fecha 14 de agosto de 2009, con la cual le solicita al propio Consorcio Callao que procedan a realizar la liquidación del monto total del contrato, pues se había culminado la obra según el cronograma acordado.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Debe precisarse que la subcontratista ha podido acreditar la existencia del vínculo con el Consorcio Callao mediante el Sub contrato de Obra de fecha 28 de agosto de 2008, el cual no ha sido desconocido por el Contratista, quien ha afirmado haberlo </w:t>
      </w:r>
      <w:r w:rsidRPr="00F741E7">
        <w:rPr>
          <w:rFonts w:ascii="Tahoma" w:hAnsi="Tahoma" w:cs="Tahoma"/>
          <w:sz w:val="20"/>
          <w:szCs w:val="20"/>
        </w:rPr>
        <w:lastRenderedPageBreak/>
        <w:t>suscrito pero con una intención distinta, generar una imagen positiva ante las entidades financieras, y favorecerlo al realizar su inscripción en el R.N.P.</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Es decir, de lo indicado por el contratista, su finalidad era realizar una simulación de acto jurídico, el cual </w:t>
      </w:r>
      <w:r w:rsidRPr="00F741E7">
        <w:rPr>
          <w:rFonts w:ascii="Tahoma" w:hAnsi="Tahoma" w:cs="Tahoma"/>
          <w:color w:val="000000"/>
          <w:sz w:val="20"/>
          <w:szCs w:val="20"/>
        </w:rPr>
        <w:t>consiste en realizar una acto que se convierte en una mera apariencia frente a terceros, con la finalidad de evadir obligaciones, aparentar solvencia o insolvencia económica, defraudar a los acreedores, eludir prohibiciones legales, evitar el pago de impuestos, facilitar la realización de ciertos negocios, etc.</w:t>
      </w:r>
    </w:p>
    <w:p w:rsidR="00F741E7" w:rsidRPr="00F741E7" w:rsidRDefault="00F741E7" w:rsidP="004040E9">
      <w:pPr>
        <w:pStyle w:val="Prrafodelista"/>
        <w:jc w:val="both"/>
        <w:rPr>
          <w:rFonts w:ascii="Tahoma" w:hAnsi="Tahoma" w:cs="Tahoma"/>
          <w:color w:val="000000"/>
          <w:sz w:val="20"/>
        </w:rPr>
      </w:pPr>
    </w:p>
    <w:p w:rsidR="00F741E7" w:rsidRPr="00F741E7" w:rsidRDefault="00F741E7" w:rsidP="004040E9">
      <w:pPr>
        <w:pStyle w:val="Textoindependiente2"/>
        <w:spacing w:after="0" w:line="240" w:lineRule="auto"/>
        <w:ind w:left="567"/>
        <w:jc w:val="both"/>
        <w:rPr>
          <w:rFonts w:ascii="Tahoma" w:hAnsi="Tahoma" w:cs="Tahoma"/>
          <w:sz w:val="20"/>
          <w:szCs w:val="20"/>
        </w:rPr>
      </w:pPr>
      <w:r w:rsidRPr="00F741E7">
        <w:rPr>
          <w:rFonts w:ascii="Tahoma" w:hAnsi="Tahoma" w:cs="Tahoma"/>
          <w:sz w:val="20"/>
          <w:szCs w:val="20"/>
        </w:rPr>
        <w:t>Sin embargo, este argumento no ha podido ser acreditado por el Contratista, quien trata de dar una interpretación distinta a los hechos presentados y actuados en autos, constituyéndose e en un hecho subjetivo no probado o acreditado; y, siendo que el procedimiento administrativo sancionador es eminentemente documental, este Colegiado solo puede sustentar su posición en los hechos documentados.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lang w:val="es-ES_tradnl"/>
        </w:rPr>
        <w:t xml:space="preserve">Adicionalmente, el hecho que el </w:t>
      </w:r>
      <w:r w:rsidRPr="00F741E7">
        <w:rPr>
          <w:rFonts w:ascii="Tahoma" w:hAnsi="Tahoma" w:cs="Tahoma"/>
          <w:sz w:val="20"/>
          <w:szCs w:val="20"/>
        </w:rPr>
        <w:t>Ing. Residente Raymundo Siancas Espinoza, propuesto en la oferta técnica, haya estado permanentemente presente en la obra y a cargo de la dirección técnica de la misma, no excluye la realización de la subcontratación, pues esta se configura con la ejecución de la obra por parte de un tercero distinto al contratista, como sucedió en el presente caso.</w:t>
      </w:r>
    </w:p>
    <w:p w:rsidR="00F741E7" w:rsidRPr="00F741E7" w:rsidRDefault="00F741E7" w:rsidP="004040E9">
      <w:pPr>
        <w:pStyle w:val="Textoindependiente2"/>
        <w:spacing w:after="0" w:line="240" w:lineRule="auto"/>
        <w:ind w:left="567"/>
        <w:jc w:val="both"/>
        <w:rPr>
          <w:rFonts w:ascii="Tahoma" w:hAnsi="Tahoma" w:cs="Tahoma"/>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Asimismo, el hecho que el referido sub contratista no haya presentado ninguna planilla de valorización ni metrados; que el Ing. Residente de Obra, propuesto por el contratista, haya firmado todas las páginas del cuaderno de obra; y, que en ninguna de ellas se haga referencia al sub contratista, no supone que el subcontrato no haya procedido, pues de conformidad a lo dispuesto en el propio subcontrato, debía mantenerse confidencialidad de la existencia de dicho acuerdo, por lo que la indicación al sub contratista no iba a estar referido en ningún documento oficial.</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Por otro lado, resulta irrelevante para la configuración de la causal tipificada como sancionable, si la empresa sub contratada contaba o no con inscripción en el R.N.P, pues lo relevante es que el contratista haya dispuesto que otra empresa realice la obra, sin autorización de la Entidad.</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lang w:val="es-ES_tradnl"/>
        </w:rPr>
        <w:t>Nótese que la no autorización a la subcontratación, ha sido precisada por la Entidad en las diversas comunicaciones remitidas a este Colegiado, confirmándose de esta manera la actuación del Contratista sin autorización de la Entidad.</w:t>
      </w:r>
    </w:p>
    <w:p w:rsidR="00F741E7" w:rsidRPr="00F741E7" w:rsidRDefault="00F741E7" w:rsidP="004040E9">
      <w:pPr>
        <w:pStyle w:val="Textoindependiente2"/>
        <w:spacing w:after="0" w:line="240" w:lineRule="auto"/>
        <w:ind w:left="567"/>
        <w:jc w:val="both"/>
        <w:rPr>
          <w:rFonts w:ascii="Tahoma" w:hAnsi="Tahoma" w:cs="Tahoma"/>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En tal sentido, del análisis a los argumentos expuestos, este Colegiado considera que en el presente caso se ha configurado la infracción tipificada en el inciso 7) del artículo 294º del Reglamento y que, consecuentemente, existe mérito suficiente para imponer la correspondiente sanción administrativa.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spacing w:after="0" w:line="240" w:lineRule="auto"/>
        <w:ind w:left="567"/>
        <w:jc w:val="both"/>
        <w:rPr>
          <w:rFonts w:ascii="Tahoma" w:hAnsi="Tahoma" w:cs="Tahoma"/>
          <w:sz w:val="20"/>
          <w:szCs w:val="20"/>
        </w:rPr>
      </w:pPr>
      <w:r w:rsidRPr="00F741E7">
        <w:rPr>
          <w:rFonts w:ascii="Tahoma" w:hAnsi="Tahoma" w:cs="Tahoma"/>
          <w:sz w:val="20"/>
          <w:szCs w:val="20"/>
        </w:rPr>
        <w:t>Dicha sanción administrativa deberá ser impuesta en virtud a los criterios de graduación de sanción establecidos en el artículo 302º del Reglamento de la Ley, vigente al momento de la ocurrencia de los hechos.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A este respecto, debe tenerse en cuenta que las infracciones cometidas por un consorcio durante la ejecución del contrato, se imputarán a todos los integrantes del mismo, aplicándosele  a cada uno de ellos la sanción que le corresponda, de </w:t>
      </w:r>
      <w:r w:rsidRPr="00F741E7">
        <w:rPr>
          <w:rFonts w:ascii="Tahoma" w:hAnsi="Tahoma" w:cs="Tahoma"/>
          <w:sz w:val="20"/>
          <w:szCs w:val="20"/>
        </w:rPr>
        <w:lastRenderedPageBreak/>
        <w:t>conformidad con lo establecido en el segundo párrafo del artículo 296º del Reglamento.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Ahora bien, cabe señalar que, para la infracción cometida por el Consorcio, el Reglamento ha previsto una sanción administrativa de inhabilitación temporal para contratar con el Estado por un periodo no menor de tres (3) meses ni mayor de doce (12) meses.</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En tal sentido,  a efectos de graduar la sanción a imponerse a las empresas consorciadas, este Colegiado debe tenerse en cuenta que de acuerdo al </w:t>
      </w:r>
      <w:r w:rsidRPr="00F741E7">
        <w:rPr>
          <w:rFonts w:ascii="Tahoma" w:hAnsi="Tahoma" w:cs="Tahoma"/>
          <w:i/>
          <w:iCs/>
          <w:sz w:val="20"/>
          <w:szCs w:val="20"/>
        </w:rPr>
        <w:t>Principio de Razonabilidad</w:t>
      </w:r>
      <w:r w:rsidRPr="00F741E7">
        <w:rPr>
          <w:rFonts w:ascii="Tahoma" w:hAnsi="Tahoma" w:cs="Tahoma"/>
          <w:sz w:val="20"/>
          <w:szCs w:val="20"/>
        </w:rPr>
        <w:t xml:space="preserve">,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Asimismo,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 xml:space="preserve">Al respecto, debe tenerse en consideración que, por su naturaleza, la infracción cometida reviste una considerable gravedad, debido a que vulnera el </w:t>
      </w:r>
      <w:r w:rsidRPr="00F741E7">
        <w:rPr>
          <w:rFonts w:ascii="Tahoma" w:hAnsi="Tahoma" w:cs="Tahoma"/>
          <w:i/>
          <w:iCs/>
          <w:sz w:val="20"/>
          <w:szCs w:val="20"/>
        </w:rPr>
        <w:t xml:space="preserve">Principio de Moralidad </w:t>
      </w:r>
      <w:r w:rsidRPr="00F741E7">
        <w:rPr>
          <w:rFonts w:ascii="Tahoma" w:hAnsi="Tahoma" w:cs="Tahoma"/>
          <w:sz w:val="20"/>
          <w:szCs w:val="20"/>
        </w:rPr>
        <w:t xml:space="preserve">que debe regir todos los actos vinculados a las contrataciones públicas. </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En igual sentido, en cuanto al criterio de intencionalidad del infractor, se ha podido dilucidar que la conducta del postor llevaba implícita la consecución de un fin, dar la apariencia ante la Entidad de ejecutar la obra a satisfacción de la misma, cuando realmente otra empresa la llevo a cabo.</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Por otro lado, en relación a la reiterancia, debe indicarse que la empresa consorciada CVJ CONTRATISTAS GENERALES S.R.L. no cuenta con antecedentes en la realización de la referida causal tipificada como sancionable, sin embargo, la empresa ALE CONTRATISTAS GENERALES S.R.L. ha sido sancionada por un periodo de nueve (09) meses mediante la Resolución Nº 041-2011-TC-S4 de fecha 17 de enero de 2011.</w:t>
      </w:r>
    </w:p>
    <w:p w:rsidR="00F741E7" w:rsidRPr="00F741E7" w:rsidRDefault="00F741E7" w:rsidP="004040E9">
      <w:pPr>
        <w:pStyle w:val="Textoindependiente2"/>
        <w:spacing w:after="0" w:line="240" w:lineRule="auto"/>
        <w:ind w:left="567"/>
        <w:jc w:val="both"/>
        <w:rPr>
          <w:rFonts w:ascii="Tahoma" w:hAnsi="Tahoma" w:cs="Tahoma"/>
          <w:sz w:val="20"/>
          <w:szCs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Asimismo, el lo referido a la conducta procesal de los infractores, debe tenerse en cuenta que han formulado sus descargos oportunamente y que el representante del consorcio participó en la audiencia pública.</w:t>
      </w:r>
    </w:p>
    <w:p w:rsidR="00F741E7" w:rsidRPr="00F741E7" w:rsidRDefault="00F741E7" w:rsidP="004040E9">
      <w:pPr>
        <w:pStyle w:val="Prrafodelista"/>
        <w:jc w:val="both"/>
        <w:rPr>
          <w:rFonts w:ascii="Tahoma" w:hAnsi="Tahoma" w:cs="Tahoma"/>
          <w:sz w:val="20"/>
        </w:rPr>
      </w:pPr>
    </w:p>
    <w:p w:rsidR="00F741E7" w:rsidRPr="00F741E7" w:rsidRDefault="00F741E7" w:rsidP="004040E9">
      <w:pPr>
        <w:pStyle w:val="Textoindependiente2"/>
        <w:numPr>
          <w:ilvl w:val="0"/>
          <w:numId w:val="9"/>
        </w:numPr>
        <w:spacing w:after="0" w:line="240" w:lineRule="auto"/>
        <w:ind w:left="567" w:hanging="567"/>
        <w:jc w:val="both"/>
        <w:rPr>
          <w:rFonts w:ascii="Tahoma" w:hAnsi="Tahoma" w:cs="Tahoma"/>
          <w:sz w:val="20"/>
          <w:szCs w:val="20"/>
        </w:rPr>
      </w:pPr>
      <w:r w:rsidRPr="00F741E7">
        <w:rPr>
          <w:rFonts w:ascii="Tahoma" w:hAnsi="Tahoma" w:cs="Tahoma"/>
          <w:sz w:val="20"/>
          <w:szCs w:val="20"/>
        </w:rPr>
        <w:t>Consecuentemente, en virtud a los criterios expuestos, este Colegiado considera que corresponde imponer a las empresas CVJ CONTRATISTAS GENERALES S.R.L., una sanción equivalente a nueve (09) meses y a ALE CONTRATISTAS GENERALES S.R.L. una sanción equivalente a diez (10) meses de inhabilitación temporal en su derecho de participar en procesos de selección y contratar con el Estado.</w:t>
      </w:r>
    </w:p>
    <w:p w:rsidR="004040E9" w:rsidRDefault="004040E9" w:rsidP="004040E9">
      <w:pPr>
        <w:spacing w:after="0" w:line="240" w:lineRule="auto"/>
        <w:ind w:firstLine="567"/>
        <w:jc w:val="both"/>
        <w:rPr>
          <w:rFonts w:ascii="Tahoma" w:hAnsi="Tahoma" w:cs="Tahoma"/>
          <w:sz w:val="20"/>
          <w:szCs w:val="20"/>
        </w:rPr>
      </w:pPr>
    </w:p>
    <w:p w:rsidR="003A23FC" w:rsidRDefault="003A23FC" w:rsidP="004040E9">
      <w:pPr>
        <w:spacing w:after="0" w:line="240" w:lineRule="auto"/>
        <w:ind w:firstLine="567"/>
        <w:jc w:val="both"/>
        <w:rPr>
          <w:rFonts w:ascii="Tahoma" w:hAnsi="Tahoma" w:cs="Tahoma"/>
          <w:sz w:val="20"/>
          <w:szCs w:val="20"/>
        </w:rPr>
      </w:pPr>
    </w:p>
    <w:p w:rsidR="00F741E7" w:rsidRPr="00F741E7" w:rsidRDefault="00F741E7" w:rsidP="004040E9">
      <w:pPr>
        <w:spacing w:after="0" w:line="240" w:lineRule="auto"/>
        <w:ind w:firstLine="567"/>
        <w:jc w:val="both"/>
        <w:rPr>
          <w:rFonts w:ascii="Tahoma" w:hAnsi="Tahoma" w:cs="Tahoma"/>
          <w:sz w:val="20"/>
          <w:szCs w:val="20"/>
        </w:rPr>
      </w:pPr>
      <w:r w:rsidRPr="00F741E7">
        <w:rPr>
          <w:rFonts w:ascii="Tahoma" w:hAnsi="Tahoma" w:cs="Tahoma"/>
          <w:sz w:val="20"/>
          <w:szCs w:val="20"/>
        </w:rPr>
        <w:lastRenderedPageBreak/>
        <w:t xml:space="preserve">Por estos fundamentos, de conformidad con el informe del Vocal Ponente Dra. </w:t>
      </w:r>
      <w:r w:rsidRPr="00F741E7">
        <w:rPr>
          <w:rFonts w:ascii="Tahoma" w:hAnsi="Tahoma" w:cs="Tahoma"/>
          <w:bCs/>
          <w:sz w:val="20"/>
          <w:szCs w:val="20"/>
        </w:rPr>
        <w:t xml:space="preserve">Janette Elke Ramírez Maynetto </w:t>
      </w:r>
      <w:r w:rsidRPr="00F741E7">
        <w:rPr>
          <w:rFonts w:ascii="Tahoma" w:hAnsi="Tahoma" w:cs="Tahoma"/>
          <w:sz w:val="20"/>
          <w:szCs w:val="20"/>
        </w:rPr>
        <w:t xml:space="preserve">y la intervención de los Vocales Dra. Ada Basulto Liewald y Dr. Carlos Fonseca Oliveira, y atendiendo a la reconformación de la Primera Sala del Tribunal de Contrataciones y Adquisiciones del Estado, según lo dispuesto en la Resolución № 190-2010-OSCE/PRE, expedida el 29 de marzo de 2010, </w:t>
      </w:r>
      <w:r w:rsidR="004040E9">
        <w:rPr>
          <w:rFonts w:ascii="Tahoma" w:hAnsi="Tahoma" w:cs="Tahoma"/>
          <w:sz w:val="20"/>
          <w:szCs w:val="20"/>
        </w:rPr>
        <w:t xml:space="preserve">el Acuerdo de Sala Plena </w:t>
      </w:r>
      <w:r w:rsidR="004040E9">
        <w:rPr>
          <w:rFonts w:ascii="Tahoma" w:hAnsi="Tahoma" w:cs="Tahoma"/>
          <w:sz w:val="20"/>
          <w:szCs w:val="20"/>
        </w:rPr>
        <w:br/>
        <w:t xml:space="preserve">Nº 005/003; </w:t>
      </w:r>
      <w:r w:rsidRPr="00F741E7">
        <w:rPr>
          <w:rFonts w:ascii="Tahoma" w:hAnsi="Tahoma" w:cs="Tahoma"/>
          <w:sz w:val="20"/>
          <w:szCs w:val="20"/>
        </w:rPr>
        <w:t>y</w:t>
      </w:r>
      <w:r w:rsidR="004040E9">
        <w:rPr>
          <w:rFonts w:ascii="Tahoma" w:hAnsi="Tahoma" w:cs="Tahoma"/>
          <w:sz w:val="20"/>
          <w:szCs w:val="20"/>
        </w:rPr>
        <w:t>,</w:t>
      </w:r>
      <w:r w:rsidRPr="00F741E7">
        <w:rPr>
          <w:rFonts w:ascii="Tahoma" w:hAnsi="Tahoma" w:cs="Tahoma"/>
          <w:sz w:val="20"/>
          <w:szCs w:val="20"/>
        </w:rPr>
        <w:t xml:space="preserve"> en ejercicio de las facultades conferidas en los artículos 51 y 63 de la Ley de Contrataciones del Estado, aprobada por Decreto Legislativo № 1017, su Reglamento, aprobado por Decreto Supremo № 184-2008-EF,</w:t>
      </w:r>
      <w:r w:rsidRPr="00F741E7">
        <w:rPr>
          <w:rFonts w:ascii="Tahoma" w:hAnsi="Tahoma" w:cs="Tahoma"/>
          <w:color w:val="000000"/>
          <w:sz w:val="20"/>
          <w:szCs w:val="20"/>
        </w:rPr>
        <w:t xml:space="preserve"> </w:t>
      </w:r>
      <w:r w:rsidRPr="00F741E7">
        <w:rPr>
          <w:rFonts w:ascii="Tahoma" w:hAnsi="Tahoma" w:cs="Tahoma"/>
          <w:sz w:val="20"/>
          <w:szCs w:val="20"/>
        </w:rPr>
        <w:t>y los artículos 17 y 18 del Reglamento de Organización y Funciones del OSCE, aprobado por Decreto Supremo № 006-2009-EF, analizados los antecedentes y luego de agotado el debate correspondiente, por unanimidad</w:t>
      </w:r>
    </w:p>
    <w:p w:rsidR="00F741E7" w:rsidRPr="00F741E7" w:rsidRDefault="00F741E7" w:rsidP="004040E9">
      <w:pPr>
        <w:spacing w:after="0" w:line="240" w:lineRule="auto"/>
        <w:jc w:val="both"/>
        <w:rPr>
          <w:rFonts w:ascii="Tahoma" w:hAnsi="Tahoma" w:cs="Tahoma"/>
          <w:sz w:val="20"/>
          <w:szCs w:val="20"/>
        </w:rPr>
      </w:pPr>
    </w:p>
    <w:p w:rsidR="00F741E7" w:rsidRPr="00F741E7" w:rsidRDefault="00F741E7" w:rsidP="004040E9">
      <w:pPr>
        <w:spacing w:after="0" w:line="240" w:lineRule="auto"/>
        <w:ind w:right="-315"/>
        <w:jc w:val="both"/>
        <w:rPr>
          <w:rFonts w:ascii="Tahoma" w:hAnsi="Tahoma" w:cs="Tahoma"/>
          <w:b/>
          <w:sz w:val="20"/>
          <w:szCs w:val="20"/>
        </w:rPr>
      </w:pPr>
      <w:r w:rsidRPr="00F741E7">
        <w:rPr>
          <w:rFonts w:ascii="Tahoma" w:hAnsi="Tahoma" w:cs="Tahoma"/>
          <w:b/>
          <w:sz w:val="20"/>
          <w:szCs w:val="20"/>
        </w:rPr>
        <w:t>LA SALA RESUELVE:</w:t>
      </w:r>
    </w:p>
    <w:p w:rsidR="00F741E7" w:rsidRPr="00F741E7" w:rsidRDefault="00F741E7" w:rsidP="004040E9">
      <w:pPr>
        <w:spacing w:after="0" w:line="240" w:lineRule="auto"/>
        <w:ind w:right="-315"/>
        <w:jc w:val="both"/>
        <w:rPr>
          <w:rFonts w:ascii="Tahoma" w:hAnsi="Tahoma" w:cs="Tahoma"/>
          <w:b/>
          <w:sz w:val="20"/>
          <w:szCs w:val="20"/>
        </w:rPr>
      </w:pPr>
    </w:p>
    <w:p w:rsidR="004040E9" w:rsidRDefault="00F741E7" w:rsidP="004040E9">
      <w:pPr>
        <w:numPr>
          <w:ilvl w:val="0"/>
          <w:numId w:val="11"/>
        </w:numPr>
        <w:spacing w:after="0" w:line="240" w:lineRule="auto"/>
        <w:jc w:val="both"/>
        <w:rPr>
          <w:rFonts w:ascii="Tahoma" w:hAnsi="Tahoma" w:cs="Tahoma"/>
          <w:sz w:val="20"/>
          <w:szCs w:val="20"/>
        </w:rPr>
      </w:pPr>
      <w:r w:rsidRPr="00F741E7">
        <w:rPr>
          <w:rFonts w:ascii="Tahoma" w:hAnsi="Tahoma" w:cs="Tahoma"/>
          <w:sz w:val="20"/>
          <w:szCs w:val="20"/>
        </w:rPr>
        <w:t>Imponer a la empresa CVJ CONTRATISTAS GENERALES S.R.L., sanción administrativa de inhabilitación temporal por el periodo de nueve (09) meses en sus derechos de participar en procesos de selección y contratar con el Estado, la cual entrará en vigencia a partir del sexto día hábil siguiente de notificada la presente Resolución.</w:t>
      </w:r>
    </w:p>
    <w:p w:rsidR="004040E9" w:rsidRDefault="004040E9" w:rsidP="004040E9">
      <w:pPr>
        <w:spacing w:after="0" w:line="240" w:lineRule="auto"/>
        <w:ind w:left="720"/>
        <w:jc w:val="both"/>
        <w:rPr>
          <w:rFonts w:ascii="Tahoma" w:hAnsi="Tahoma" w:cs="Tahoma"/>
          <w:sz w:val="20"/>
          <w:szCs w:val="20"/>
        </w:rPr>
      </w:pPr>
    </w:p>
    <w:p w:rsidR="004040E9" w:rsidRDefault="00F741E7" w:rsidP="004040E9">
      <w:pPr>
        <w:numPr>
          <w:ilvl w:val="0"/>
          <w:numId w:val="11"/>
        </w:numPr>
        <w:spacing w:after="0" w:line="240" w:lineRule="auto"/>
        <w:jc w:val="both"/>
        <w:rPr>
          <w:rFonts w:ascii="Tahoma" w:hAnsi="Tahoma" w:cs="Tahoma"/>
          <w:sz w:val="20"/>
          <w:szCs w:val="20"/>
        </w:rPr>
      </w:pPr>
      <w:r w:rsidRPr="004040E9">
        <w:rPr>
          <w:rFonts w:ascii="Tahoma" w:hAnsi="Tahoma" w:cs="Tahoma"/>
          <w:sz w:val="20"/>
          <w:szCs w:val="20"/>
        </w:rPr>
        <w:t>Imponer a la empresa ALE CONTRATISTAS GENERALES S.R.L., la sanción administrativa de inhabilitación temporal por el periodo de diez (10) meses en sus derechos de participar en procesos de selección y contratar con el Estado, la cual entrará en vigencia a partir del sexto día hábil siguiente de notificada la presente Resolución.</w:t>
      </w:r>
    </w:p>
    <w:p w:rsidR="004040E9" w:rsidRDefault="004040E9" w:rsidP="004040E9">
      <w:pPr>
        <w:pStyle w:val="Prrafodelista"/>
        <w:rPr>
          <w:rFonts w:ascii="Tahoma" w:hAnsi="Tahoma" w:cs="Tahoma"/>
          <w:sz w:val="20"/>
        </w:rPr>
      </w:pPr>
    </w:p>
    <w:p w:rsidR="00F741E7" w:rsidRPr="004040E9" w:rsidRDefault="00F741E7" w:rsidP="004040E9">
      <w:pPr>
        <w:numPr>
          <w:ilvl w:val="0"/>
          <w:numId w:val="11"/>
        </w:numPr>
        <w:spacing w:after="0" w:line="240" w:lineRule="auto"/>
        <w:jc w:val="both"/>
        <w:rPr>
          <w:rFonts w:ascii="Tahoma" w:hAnsi="Tahoma" w:cs="Tahoma"/>
          <w:sz w:val="20"/>
          <w:szCs w:val="20"/>
        </w:rPr>
      </w:pPr>
      <w:r w:rsidRPr="004040E9">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F741E7" w:rsidRPr="00F741E7" w:rsidRDefault="00F741E7" w:rsidP="004040E9">
      <w:pPr>
        <w:pStyle w:val="Ttulo3"/>
        <w:jc w:val="both"/>
        <w:rPr>
          <w:rFonts w:ascii="Tahoma" w:hAnsi="Tahoma" w:cs="Tahoma"/>
          <w:b w:val="0"/>
          <w:bCs w:val="0"/>
          <w:sz w:val="20"/>
          <w:szCs w:val="20"/>
        </w:rPr>
      </w:pPr>
      <w:r w:rsidRPr="00F741E7">
        <w:rPr>
          <w:rFonts w:ascii="Tahoma" w:hAnsi="Tahoma" w:cs="Tahoma"/>
          <w:b w:val="0"/>
          <w:sz w:val="20"/>
          <w:szCs w:val="20"/>
        </w:rPr>
        <w:t>Regístrese, comuníquese y publíquese.</w:t>
      </w: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4040E9" w:rsidP="004040E9">
      <w:pPr>
        <w:spacing w:after="0" w:line="240" w:lineRule="auto"/>
        <w:ind w:left="2832" w:firstLine="708"/>
        <w:jc w:val="both"/>
        <w:rPr>
          <w:rFonts w:ascii="Tahoma" w:hAnsi="Tahoma" w:cs="Tahoma"/>
          <w:b/>
          <w:shadow/>
          <w:sz w:val="20"/>
          <w:szCs w:val="20"/>
        </w:rPr>
      </w:pPr>
      <w:r>
        <w:rPr>
          <w:rFonts w:ascii="Tahoma" w:hAnsi="Tahoma" w:cs="Tahoma"/>
          <w:b/>
          <w:shadow/>
          <w:sz w:val="20"/>
          <w:szCs w:val="20"/>
        </w:rPr>
        <w:t>PRESIDENTA</w:t>
      </w: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b/>
          <w:shadow/>
          <w:sz w:val="20"/>
          <w:szCs w:val="20"/>
        </w:rPr>
      </w:pPr>
    </w:p>
    <w:p w:rsidR="00F741E7" w:rsidRPr="00F741E7" w:rsidRDefault="00F741E7" w:rsidP="004040E9">
      <w:pPr>
        <w:spacing w:after="0" w:line="240" w:lineRule="auto"/>
        <w:jc w:val="both"/>
        <w:rPr>
          <w:rFonts w:ascii="Tahoma" w:hAnsi="Tahoma" w:cs="Tahoma"/>
          <w:shadow/>
          <w:sz w:val="20"/>
          <w:szCs w:val="20"/>
        </w:rPr>
      </w:pPr>
      <w:r w:rsidRPr="00F741E7">
        <w:rPr>
          <w:rFonts w:ascii="Tahoma" w:hAnsi="Tahoma" w:cs="Tahoma"/>
          <w:b/>
          <w:shadow/>
          <w:sz w:val="20"/>
          <w:szCs w:val="20"/>
        </w:rPr>
        <w:t xml:space="preserve">                   VOCAL</w:t>
      </w:r>
      <w:r w:rsidRPr="00F741E7">
        <w:rPr>
          <w:rFonts w:ascii="Tahoma" w:hAnsi="Tahoma" w:cs="Tahoma"/>
          <w:b/>
          <w:shadow/>
          <w:sz w:val="20"/>
          <w:szCs w:val="20"/>
        </w:rPr>
        <w:tab/>
      </w:r>
      <w:r w:rsidRPr="00F741E7">
        <w:rPr>
          <w:rFonts w:ascii="Tahoma" w:hAnsi="Tahoma" w:cs="Tahoma"/>
          <w:b/>
          <w:shadow/>
          <w:sz w:val="20"/>
          <w:szCs w:val="20"/>
        </w:rPr>
        <w:tab/>
      </w:r>
      <w:r w:rsidRPr="00F741E7">
        <w:rPr>
          <w:rFonts w:ascii="Tahoma" w:hAnsi="Tahoma" w:cs="Tahoma"/>
          <w:b/>
          <w:shadow/>
          <w:sz w:val="20"/>
          <w:szCs w:val="20"/>
        </w:rPr>
        <w:tab/>
      </w:r>
      <w:r w:rsidRPr="00F741E7">
        <w:rPr>
          <w:rFonts w:ascii="Tahoma" w:hAnsi="Tahoma" w:cs="Tahoma"/>
          <w:b/>
          <w:shadow/>
          <w:sz w:val="20"/>
          <w:szCs w:val="20"/>
        </w:rPr>
        <w:tab/>
      </w:r>
      <w:r w:rsidRPr="00F741E7">
        <w:rPr>
          <w:rFonts w:ascii="Tahoma" w:hAnsi="Tahoma" w:cs="Tahoma"/>
          <w:b/>
          <w:shadow/>
          <w:sz w:val="20"/>
          <w:szCs w:val="20"/>
        </w:rPr>
        <w:tab/>
      </w:r>
      <w:r w:rsidRPr="00F741E7">
        <w:rPr>
          <w:rFonts w:ascii="Tahoma" w:hAnsi="Tahoma" w:cs="Tahoma"/>
          <w:b/>
          <w:shadow/>
          <w:sz w:val="20"/>
          <w:szCs w:val="20"/>
        </w:rPr>
        <w:tab/>
      </w:r>
      <w:r w:rsidRPr="00F741E7">
        <w:rPr>
          <w:rFonts w:ascii="Tahoma" w:hAnsi="Tahoma" w:cs="Tahoma"/>
          <w:b/>
          <w:shadow/>
          <w:sz w:val="20"/>
          <w:szCs w:val="20"/>
        </w:rPr>
        <w:tab/>
      </w:r>
      <w:r w:rsidRPr="00F741E7">
        <w:rPr>
          <w:rFonts w:ascii="Tahoma" w:hAnsi="Tahoma" w:cs="Tahoma"/>
          <w:b/>
          <w:shadow/>
          <w:sz w:val="20"/>
          <w:szCs w:val="20"/>
        </w:rPr>
        <w:tab/>
        <w:t xml:space="preserve">VOCAL                                                                 </w:t>
      </w:r>
    </w:p>
    <w:p w:rsidR="00F741E7" w:rsidRPr="00F741E7" w:rsidRDefault="00F741E7" w:rsidP="004040E9">
      <w:pPr>
        <w:spacing w:after="0" w:line="240" w:lineRule="auto"/>
        <w:jc w:val="both"/>
        <w:rPr>
          <w:rFonts w:ascii="Tahoma" w:hAnsi="Tahoma" w:cs="Tahoma"/>
          <w:sz w:val="20"/>
          <w:szCs w:val="20"/>
        </w:rPr>
      </w:pPr>
    </w:p>
    <w:p w:rsidR="00F741E7" w:rsidRPr="00F741E7" w:rsidRDefault="00F741E7" w:rsidP="004040E9">
      <w:pPr>
        <w:spacing w:after="0" w:line="240" w:lineRule="auto"/>
        <w:jc w:val="both"/>
        <w:rPr>
          <w:rFonts w:ascii="Tahoma" w:hAnsi="Tahoma" w:cs="Tahoma"/>
          <w:sz w:val="20"/>
          <w:szCs w:val="20"/>
        </w:rPr>
      </w:pPr>
    </w:p>
    <w:p w:rsidR="00F741E7" w:rsidRPr="00F741E7" w:rsidRDefault="00F741E7" w:rsidP="004040E9">
      <w:pPr>
        <w:spacing w:after="0" w:line="240" w:lineRule="auto"/>
        <w:jc w:val="both"/>
        <w:rPr>
          <w:rFonts w:ascii="Tahoma" w:hAnsi="Tahoma" w:cs="Tahoma"/>
          <w:sz w:val="20"/>
          <w:szCs w:val="20"/>
        </w:rPr>
      </w:pPr>
    </w:p>
    <w:p w:rsidR="00F741E7" w:rsidRPr="00F741E7" w:rsidRDefault="00F741E7" w:rsidP="004040E9">
      <w:pPr>
        <w:spacing w:after="0" w:line="240" w:lineRule="auto"/>
        <w:jc w:val="both"/>
        <w:rPr>
          <w:rFonts w:ascii="Tahoma" w:hAnsi="Tahoma" w:cs="Tahoma"/>
          <w:sz w:val="20"/>
          <w:szCs w:val="20"/>
          <w:lang w:val="en-US"/>
        </w:rPr>
      </w:pPr>
      <w:r w:rsidRPr="00F741E7">
        <w:rPr>
          <w:rFonts w:ascii="Tahoma" w:hAnsi="Tahoma" w:cs="Tahoma"/>
          <w:sz w:val="20"/>
          <w:szCs w:val="20"/>
          <w:lang w:val="en-US"/>
        </w:rPr>
        <w:t>ss.</w:t>
      </w:r>
    </w:p>
    <w:p w:rsidR="00F741E7" w:rsidRPr="00F741E7" w:rsidRDefault="00F741E7" w:rsidP="004040E9">
      <w:pPr>
        <w:spacing w:after="0" w:line="240" w:lineRule="auto"/>
        <w:jc w:val="both"/>
        <w:rPr>
          <w:rFonts w:ascii="Tahoma" w:hAnsi="Tahoma" w:cs="Tahoma"/>
          <w:sz w:val="20"/>
          <w:szCs w:val="20"/>
          <w:lang w:val="en-US"/>
        </w:rPr>
      </w:pPr>
      <w:r w:rsidRPr="00F741E7">
        <w:rPr>
          <w:rFonts w:ascii="Tahoma" w:hAnsi="Tahoma" w:cs="Tahoma"/>
          <w:sz w:val="20"/>
          <w:szCs w:val="20"/>
          <w:lang w:val="en-US"/>
        </w:rPr>
        <w:t xml:space="preserve">Basulto Liewald, </w:t>
      </w:r>
    </w:p>
    <w:p w:rsidR="00F741E7" w:rsidRPr="00F741E7" w:rsidRDefault="00F741E7" w:rsidP="004040E9">
      <w:pPr>
        <w:spacing w:after="0" w:line="240" w:lineRule="auto"/>
        <w:jc w:val="both"/>
        <w:rPr>
          <w:rFonts w:ascii="Tahoma" w:hAnsi="Tahoma" w:cs="Tahoma"/>
          <w:sz w:val="20"/>
          <w:szCs w:val="20"/>
          <w:lang w:val="en-US"/>
        </w:rPr>
      </w:pPr>
      <w:r w:rsidRPr="00F741E7">
        <w:rPr>
          <w:rFonts w:ascii="Tahoma" w:hAnsi="Tahoma" w:cs="Tahoma"/>
          <w:sz w:val="20"/>
          <w:szCs w:val="20"/>
          <w:lang w:val="en-US"/>
        </w:rPr>
        <w:t>Ramírez Maynetto.</w:t>
      </w:r>
    </w:p>
    <w:p w:rsidR="00F741E7" w:rsidRPr="00F741E7" w:rsidRDefault="00F741E7" w:rsidP="004040E9">
      <w:pPr>
        <w:spacing w:after="0" w:line="240" w:lineRule="auto"/>
        <w:jc w:val="both"/>
        <w:rPr>
          <w:rFonts w:ascii="Tahoma" w:hAnsi="Tahoma" w:cs="Tahoma"/>
          <w:sz w:val="20"/>
          <w:szCs w:val="20"/>
        </w:rPr>
      </w:pPr>
      <w:r w:rsidRPr="00F741E7">
        <w:rPr>
          <w:rFonts w:ascii="Tahoma" w:hAnsi="Tahoma" w:cs="Tahoma"/>
          <w:sz w:val="20"/>
          <w:szCs w:val="20"/>
        </w:rPr>
        <w:t>Fonseca Oliveira</w:t>
      </w:r>
      <w:r w:rsidRPr="00F741E7">
        <w:rPr>
          <w:rFonts w:ascii="Tahoma" w:hAnsi="Tahoma" w:cs="Tahoma"/>
          <w:b/>
          <w:shadow/>
          <w:sz w:val="20"/>
          <w:szCs w:val="20"/>
          <w:lang w:val="pt-BR"/>
        </w:rPr>
        <w:t>.</w:t>
      </w:r>
    </w:p>
    <w:sectPr w:rsidR="00F741E7" w:rsidRPr="00F741E7" w:rsidSect="003A23FC">
      <w:headerReference w:type="default" r:id="rId7"/>
      <w:footerReference w:type="default" r:id="rId8"/>
      <w:pgSz w:w="11906" w:h="16838"/>
      <w:pgMar w:top="2694" w:right="1700" w:bottom="1276" w:left="212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AF2" w:rsidRDefault="009C1AF2" w:rsidP="00F741E7">
      <w:pPr>
        <w:spacing w:after="0" w:line="240" w:lineRule="auto"/>
      </w:pPr>
      <w:r>
        <w:separator/>
      </w:r>
    </w:p>
  </w:endnote>
  <w:endnote w:type="continuationSeparator" w:id="1">
    <w:p w:rsidR="009C1AF2" w:rsidRDefault="009C1AF2" w:rsidP="00F741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BA" w:rsidRPr="00FD5A0C" w:rsidRDefault="00972FBA">
    <w:pPr>
      <w:pStyle w:val="Piedepgina"/>
      <w:jc w:val="center"/>
      <w:rPr>
        <w:rFonts w:ascii="Tahoma" w:hAnsi="Tahoma" w:cs="Tahoma"/>
        <w:i/>
        <w:sz w:val="18"/>
        <w:szCs w:val="18"/>
      </w:rPr>
    </w:pPr>
    <w:r w:rsidRPr="00FD5A0C">
      <w:rPr>
        <w:rFonts w:ascii="Tahoma" w:hAnsi="Tahoma" w:cs="Tahoma"/>
        <w:i/>
        <w:sz w:val="18"/>
        <w:szCs w:val="18"/>
      </w:rPr>
      <w:t xml:space="preserve">Página </w:t>
    </w:r>
    <w:r w:rsidR="00026F4F" w:rsidRPr="00FD5A0C">
      <w:rPr>
        <w:rFonts w:ascii="Tahoma" w:hAnsi="Tahoma" w:cs="Tahoma"/>
        <w:i/>
        <w:sz w:val="18"/>
        <w:szCs w:val="18"/>
      </w:rPr>
      <w:fldChar w:fldCharType="begin"/>
    </w:r>
    <w:r w:rsidRPr="00FD5A0C">
      <w:rPr>
        <w:rFonts w:ascii="Tahoma" w:hAnsi="Tahoma" w:cs="Tahoma"/>
        <w:i/>
        <w:sz w:val="18"/>
        <w:szCs w:val="18"/>
      </w:rPr>
      <w:instrText>PAGE</w:instrText>
    </w:r>
    <w:r w:rsidR="00026F4F" w:rsidRPr="00FD5A0C">
      <w:rPr>
        <w:rFonts w:ascii="Tahoma" w:hAnsi="Tahoma" w:cs="Tahoma"/>
        <w:i/>
        <w:sz w:val="18"/>
        <w:szCs w:val="18"/>
      </w:rPr>
      <w:fldChar w:fldCharType="separate"/>
    </w:r>
    <w:r w:rsidR="001E41AB">
      <w:rPr>
        <w:rFonts w:ascii="Tahoma" w:hAnsi="Tahoma" w:cs="Tahoma"/>
        <w:i/>
        <w:noProof/>
        <w:sz w:val="18"/>
        <w:szCs w:val="18"/>
      </w:rPr>
      <w:t>1</w:t>
    </w:r>
    <w:r w:rsidR="00026F4F" w:rsidRPr="00FD5A0C">
      <w:rPr>
        <w:rFonts w:ascii="Tahoma" w:hAnsi="Tahoma" w:cs="Tahoma"/>
        <w:i/>
        <w:sz w:val="18"/>
        <w:szCs w:val="18"/>
      </w:rPr>
      <w:fldChar w:fldCharType="end"/>
    </w:r>
    <w:r w:rsidRPr="00FD5A0C">
      <w:rPr>
        <w:rFonts w:ascii="Tahoma" w:hAnsi="Tahoma" w:cs="Tahoma"/>
        <w:i/>
        <w:sz w:val="18"/>
        <w:szCs w:val="18"/>
      </w:rPr>
      <w:t xml:space="preserve"> de </w:t>
    </w:r>
    <w:r w:rsidR="00026F4F" w:rsidRPr="00FD5A0C">
      <w:rPr>
        <w:rFonts w:ascii="Tahoma" w:hAnsi="Tahoma" w:cs="Tahoma"/>
        <w:i/>
        <w:sz w:val="18"/>
        <w:szCs w:val="18"/>
      </w:rPr>
      <w:fldChar w:fldCharType="begin"/>
    </w:r>
    <w:r w:rsidRPr="00FD5A0C">
      <w:rPr>
        <w:rFonts w:ascii="Tahoma" w:hAnsi="Tahoma" w:cs="Tahoma"/>
        <w:i/>
        <w:sz w:val="18"/>
        <w:szCs w:val="18"/>
      </w:rPr>
      <w:instrText>NUMPAGES</w:instrText>
    </w:r>
    <w:r w:rsidR="00026F4F" w:rsidRPr="00FD5A0C">
      <w:rPr>
        <w:rFonts w:ascii="Tahoma" w:hAnsi="Tahoma" w:cs="Tahoma"/>
        <w:i/>
        <w:sz w:val="18"/>
        <w:szCs w:val="18"/>
      </w:rPr>
      <w:fldChar w:fldCharType="separate"/>
    </w:r>
    <w:r w:rsidR="001E41AB">
      <w:rPr>
        <w:rFonts w:ascii="Tahoma" w:hAnsi="Tahoma" w:cs="Tahoma"/>
        <w:i/>
        <w:noProof/>
        <w:sz w:val="18"/>
        <w:szCs w:val="18"/>
      </w:rPr>
      <w:t>11</w:t>
    </w:r>
    <w:r w:rsidR="00026F4F" w:rsidRPr="00FD5A0C">
      <w:rPr>
        <w:rFonts w:ascii="Tahoma" w:hAnsi="Tahoma" w:cs="Tahoma"/>
        <w:i/>
        <w:sz w:val="18"/>
        <w:szCs w:val="18"/>
      </w:rPr>
      <w:fldChar w:fldCharType="end"/>
    </w:r>
  </w:p>
  <w:p w:rsidR="00972FBA" w:rsidRDefault="00972FB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AF2" w:rsidRDefault="009C1AF2" w:rsidP="00F741E7">
      <w:pPr>
        <w:spacing w:after="0" w:line="240" w:lineRule="auto"/>
      </w:pPr>
      <w:r>
        <w:separator/>
      </w:r>
    </w:p>
  </w:footnote>
  <w:footnote w:type="continuationSeparator" w:id="1">
    <w:p w:rsidR="009C1AF2" w:rsidRDefault="009C1AF2" w:rsidP="00F741E7">
      <w:pPr>
        <w:spacing w:after="0" w:line="240" w:lineRule="auto"/>
      </w:pPr>
      <w:r>
        <w:continuationSeparator/>
      </w:r>
    </w:p>
  </w:footnote>
  <w:footnote w:id="2">
    <w:p w:rsidR="00972FBA" w:rsidRDefault="00972FBA" w:rsidP="00F741E7">
      <w:pPr>
        <w:pStyle w:val="Textonotapie"/>
      </w:pPr>
      <w:r>
        <w:rPr>
          <w:rStyle w:val="Refdenotaalpie"/>
        </w:rPr>
        <w:footnoteRef/>
      </w:r>
      <w:r>
        <w:t xml:space="preserve"> </w:t>
      </w:r>
      <w:r w:rsidRPr="00681BC0">
        <w:rPr>
          <w:sz w:val="18"/>
          <w:szCs w:val="18"/>
        </w:rPr>
        <w:t>Documento obrante a fojas 046 del expediente administrativo.</w:t>
      </w:r>
    </w:p>
  </w:footnote>
  <w:footnote w:id="3">
    <w:p w:rsidR="00972FBA" w:rsidRPr="00DD062D" w:rsidRDefault="00972FBA" w:rsidP="00F741E7">
      <w:pPr>
        <w:pStyle w:val="Textonotapie"/>
        <w:rPr>
          <w:i/>
          <w:iCs/>
          <w:sz w:val="16"/>
          <w:szCs w:val="16"/>
        </w:rPr>
      </w:pPr>
      <w:r>
        <w:rPr>
          <w:rStyle w:val="Refdenotaalpie"/>
        </w:rPr>
        <w:footnoteRef/>
      </w:r>
      <w:r>
        <w:t xml:space="preserve"> </w:t>
      </w:r>
      <w:r w:rsidRPr="00DD062D">
        <w:rPr>
          <w:sz w:val="16"/>
          <w:szCs w:val="16"/>
        </w:rPr>
        <w:t>“</w:t>
      </w:r>
      <w:r w:rsidRPr="00DD062D">
        <w:rPr>
          <w:b/>
          <w:bCs/>
          <w:i/>
          <w:iCs/>
          <w:sz w:val="16"/>
          <w:szCs w:val="16"/>
        </w:rPr>
        <w:t>Artículo 294.- Causales de aplicación de sanción a los proveedores, participantes, postores y contratistas.-</w:t>
      </w:r>
    </w:p>
    <w:p w:rsidR="00972FBA" w:rsidRPr="00DD062D" w:rsidRDefault="00972FBA" w:rsidP="00F741E7">
      <w:pPr>
        <w:pStyle w:val="Textonotapie"/>
        <w:rPr>
          <w:i/>
          <w:iCs/>
          <w:sz w:val="16"/>
          <w:szCs w:val="16"/>
        </w:rPr>
      </w:pPr>
      <w:r w:rsidRPr="00DD062D">
        <w:rPr>
          <w:i/>
          <w:iCs/>
          <w:sz w:val="16"/>
          <w:szCs w:val="16"/>
        </w:rPr>
        <w:t>El Tribunal impondrá la sanción administrativa de inhabilitación temporal o definitiva a los proveedores, participantes, postores y/o contratistas que:</w:t>
      </w:r>
    </w:p>
    <w:p w:rsidR="00972FBA" w:rsidRPr="005352F2" w:rsidRDefault="00972FBA" w:rsidP="00F741E7">
      <w:pPr>
        <w:pStyle w:val="Textonotapie"/>
        <w:rPr>
          <w:i/>
          <w:iCs/>
        </w:rPr>
      </w:pPr>
      <w:r w:rsidRPr="005352F2">
        <w:rPr>
          <w:i/>
          <w:iCs/>
        </w:rPr>
        <w:t>(…)</w:t>
      </w:r>
    </w:p>
    <w:p w:rsidR="00972FBA" w:rsidRPr="00DD062D" w:rsidRDefault="00972FBA" w:rsidP="00F741E7">
      <w:pPr>
        <w:pStyle w:val="Textonotapie"/>
        <w:rPr>
          <w:i/>
          <w:iCs/>
          <w:sz w:val="16"/>
          <w:szCs w:val="16"/>
        </w:rPr>
      </w:pPr>
      <w:r w:rsidRPr="00DD062D">
        <w:rPr>
          <w:i/>
          <w:iCs/>
          <w:sz w:val="16"/>
          <w:szCs w:val="16"/>
        </w:rPr>
        <w:t>7) Realicen subcontrataciones sin autorización de la Entidad o por un porcentaje mayor al permitido en el Reglamento;</w:t>
      </w:r>
    </w:p>
    <w:p w:rsidR="00972FBA" w:rsidRDefault="00972FBA" w:rsidP="00F741E7">
      <w:pPr>
        <w:pStyle w:val="Textonotapie"/>
      </w:pPr>
      <w:r w:rsidRPr="00DD062D">
        <w:rPr>
          <w:i/>
          <w:iCs/>
          <w:sz w:val="16"/>
          <w:szCs w:val="16"/>
        </w:rPr>
        <w:t>(…)”.</w:t>
      </w:r>
    </w:p>
  </w:footnote>
  <w:footnote w:id="4">
    <w:p w:rsidR="00972FBA" w:rsidRDefault="00972FBA" w:rsidP="00F741E7">
      <w:pPr>
        <w:pStyle w:val="Textonotapie"/>
      </w:pPr>
      <w:r w:rsidRPr="00234727">
        <w:rPr>
          <w:rStyle w:val="Refdenotaalpie"/>
        </w:rPr>
        <w:footnoteRef/>
      </w:r>
      <w:r w:rsidRPr="00234727">
        <w:rPr>
          <w:sz w:val="16"/>
          <w:szCs w:val="16"/>
        </w:rPr>
        <w:t xml:space="preserve"> Lo subrayado es nuestro</w:t>
      </w:r>
      <w:r>
        <w:rPr>
          <w:sz w:val="16"/>
          <w:szCs w:val="16"/>
        </w:rPr>
        <w:t>.</w:t>
      </w:r>
    </w:p>
  </w:footnote>
  <w:footnote w:id="5">
    <w:p w:rsidR="00972FBA" w:rsidRDefault="00972FBA" w:rsidP="00F741E7">
      <w:pPr>
        <w:pStyle w:val="Textonotapie"/>
      </w:pPr>
      <w:r w:rsidRPr="003C1A1E">
        <w:rPr>
          <w:rStyle w:val="Refdenotaalpie"/>
          <w:i/>
          <w:iCs/>
        </w:rPr>
        <w:footnoteRef/>
      </w:r>
      <w:r w:rsidRPr="003C1A1E">
        <w:rPr>
          <w:i/>
          <w:iCs/>
          <w:sz w:val="16"/>
          <w:szCs w:val="16"/>
        </w:rPr>
        <w:t xml:space="preserve"> La Resolución Nº 2555/2009.TC-S1 de fecha 25 de noviembre de 2009, fue emitida como consecuencia del Exp Nº 1646.2009.TC, en el cual la vocal ponente, Dra Ramirez Maynetto emitió un voto en discordia referido a la competencia del Tribunal para emitir pronunciamiento.</w:t>
      </w:r>
    </w:p>
  </w:footnote>
  <w:footnote w:id="6">
    <w:p w:rsidR="00972FBA" w:rsidRPr="003C1A1E" w:rsidRDefault="00972FBA" w:rsidP="00F741E7">
      <w:pPr>
        <w:pStyle w:val="Textonotapie"/>
        <w:rPr>
          <w:i/>
          <w:iCs/>
          <w:sz w:val="16"/>
          <w:szCs w:val="16"/>
        </w:rPr>
      </w:pPr>
      <w:r w:rsidRPr="003C1A1E">
        <w:rPr>
          <w:rStyle w:val="Refdenotaalpie"/>
          <w:i/>
          <w:iCs/>
        </w:rPr>
        <w:footnoteRef/>
      </w:r>
      <w:r w:rsidRPr="003C1A1E">
        <w:rPr>
          <w:i/>
          <w:iCs/>
          <w:sz w:val="16"/>
          <w:szCs w:val="16"/>
        </w:rPr>
        <w:t xml:space="preserve"> “</w:t>
      </w:r>
      <w:r w:rsidRPr="003C1A1E">
        <w:rPr>
          <w:b/>
          <w:bCs/>
          <w:i/>
          <w:iCs/>
          <w:sz w:val="16"/>
          <w:szCs w:val="16"/>
        </w:rPr>
        <w:t>Artículo 208.- Subcontratación.-</w:t>
      </w:r>
    </w:p>
    <w:p w:rsidR="00972FBA" w:rsidRPr="003C1A1E" w:rsidRDefault="00972FBA" w:rsidP="00F741E7">
      <w:pPr>
        <w:pStyle w:val="Textonotapie"/>
        <w:rPr>
          <w:i/>
          <w:iCs/>
          <w:sz w:val="16"/>
          <w:szCs w:val="16"/>
        </w:rPr>
      </w:pPr>
      <w:r w:rsidRPr="003C1A1E">
        <w:rPr>
          <w:i/>
          <w:iCs/>
          <w:sz w:val="16"/>
          <w:szCs w:val="16"/>
        </w:rPr>
        <w:t>Salvo prohibición expresa prevista en el presente Reglamento, en las Bases o en el contrato, el contratista podrá acordar con terceros la subcontratación de parte de las prestaciones a su cargo, siempre que:</w:t>
      </w:r>
    </w:p>
    <w:p w:rsidR="00972FBA" w:rsidRPr="003C1A1E" w:rsidRDefault="00972FBA" w:rsidP="00F741E7">
      <w:pPr>
        <w:pStyle w:val="Textonotapie"/>
        <w:numPr>
          <w:ilvl w:val="0"/>
          <w:numId w:val="10"/>
        </w:numPr>
        <w:rPr>
          <w:i/>
          <w:iCs/>
          <w:sz w:val="16"/>
          <w:szCs w:val="16"/>
        </w:rPr>
      </w:pPr>
      <w:r w:rsidRPr="003C1A1E">
        <w:rPr>
          <w:i/>
          <w:iCs/>
          <w:sz w:val="16"/>
          <w:szCs w:val="16"/>
        </w:rPr>
        <w:t>La Entidad lo apruebe por escrito y de manera previa, por intermedio del funcionario que cuente con facultades suficientes y dentro de los cinco (5) días hábiles de formulado el pedido. Si transcurrido dicho plazo la Entidad no comunica su respuesta, se considera que el pedido ha sido aprobado.</w:t>
      </w:r>
    </w:p>
    <w:p w:rsidR="00972FBA" w:rsidRPr="003C1A1E" w:rsidRDefault="00972FBA" w:rsidP="00F741E7">
      <w:pPr>
        <w:pStyle w:val="Textonotapie"/>
        <w:numPr>
          <w:ilvl w:val="0"/>
          <w:numId w:val="10"/>
        </w:numPr>
        <w:rPr>
          <w:i/>
          <w:iCs/>
          <w:sz w:val="16"/>
          <w:szCs w:val="16"/>
        </w:rPr>
      </w:pPr>
      <w:r w:rsidRPr="003C1A1E">
        <w:rPr>
          <w:i/>
          <w:iCs/>
          <w:sz w:val="16"/>
          <w:szCs w:val="16"/>
        </w:rPr>
        <w:t>Las prestaciones a subcontratarse con terceros no excedan del sesenta por cien (60%) del monto del contrato original.</w:t>
      </w:r>
    </w:p>
    <w:p w:rsidR="00972FBA" w:rsidRDefault="00972FBA" w:rsidP="00F741E7">
      <w:pPr>
        <w:pStyle w:val="Textonotapie"/>
      </w:pPr>
      <w:r w:rsidRPr="003C1A1E">
        <w:rPr>
          <w:i/>
          <w:iCs/>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1AB" w:rsidRDefault="001E41AB" w:rsidP="001E41AB">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E41AB" w:rsidRDefault="001E41AB" w:rsidP="001E41AB">
    <w:pPr>
      <w:pStyle w:val="Encabezado"/>
      <w:rPr>
        <w:noProof/>
      </w:rPr>
    </w:pPr>
  </w:p>
  <w:p w:rsidR="001E41AB" w:rsidRDefault="001E41AB" w:rsidP="001E41AB">
    <w:pPr>
      <w:pStyle w:val="Encabezado"/>
      <w:rPr>
        <w:noProof/>
      </w:rPr>
    </w:pPr>
  </w:p>
  <w:p w:rsidR="001E41AB" w:rsidRDefault="001E41AB" w:rsidP="001E41AB">
    <w:pPr>
      <w:pStyle w:val="Encabezado"/>
      <w:rPr>
        <w:noProof/>
      </w:rPr>
    </w:pPr>
  </w:p>
  <w:p w:rsidR="001E41AB" w:rsidRDefault="001E41AB" w:rsidP="001E41AB">
    <w:pPr>
      <w:pStyle w:val="Encabezado"/>
      <w:jc w:val="center"/>
    </w:pPr>
    <w:r>
      <w:rPr>
        <w:rFonts w:ascii="Monotype Corsiva" w:hAnsi="Monotype Corsiva"/>
        <w:b/>
        <w:sz w:val="44"/>
        <w:szCs w:val="44"/>
      </w:rPr>
      <w:t xml:space="preserve">Resolución Nº   </w:t>
    </w:r>
    <w:r>
      <w:rPr>
        <w:rFonts w:ascii="Tahoma" w:hAnsi="Tahoma" w:cs="Tahoma"/>
        <w:b/>
        <w:sz w:val="44"/>
        <w:szCs w:val="44"/>
      </w:rPr>
      <w:t>321-2011-TC-S1</w:t>
    </w:r>
  </w:p>
  <w:p w:rsidR="001E41AB" w:rsidRDefault="001E41A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5499"/>
    <w:multiLevelType w:val="hybridMultilevel"/>
    <w:tmpl w:val="592A12EA"/>
    <w:lvl w:ilvl="0" w:tplc="FE84A5FE">
      <w:start w:val="1"/>
      <w:numFmt w:val="decimal"/>
      <w:lvlText w:val="%1."/>
      <w:lvlJc w:val="left"/>
      <w:pPr>
        <w:ind w:left="720" w:hanging="360"/>
      </w:pPr>
      <w:rPr>
        <w:rFonts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131D60A9"/>
    <w:multiLevelType w:val="hybridMultilevel"/>
    <w:tmpl w:val="1A801A96"/>
    <w:lvl w:ilvl="0" w:tplc="AAC2829A">
      <w:start w:val="1"/>
      <w:numFmt w:val="decimal"/>
      <w:lvlText w:val="%1."/>
      <w:lvlJc w:val="left"/>
      <w:pPr>
        <w:tabs>
          <w:tab w:val="num" w:pos="720"/>
        </w:tabs>
        <w:ind w:left="720" w:hanging="360"/>
      </w:pPr>
      <w:rPr>
        <w:rFonts w:hint="default"/>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189A0C2D"/>
    <w:multiLevelType w:val="hybridMultilevel"/>
    <w:tmpl w:val="78A8538E"/>
    <w:lvl w:ilvl="0" w:tplc="0C0A001B">
      <w:start w:val="1"/>
      <w:numFmt w:val="lowerRoman"/>
      <w:lvlText w:val="%1."/>
      <w:lvlJc w:val="righ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3">
    <w:nsid w:val="19087D5E"/>
    <w:multiLevelType w:val="hybridMultilevel"/>
    <w:tmpl w:val="8BE68676"/>
    <w:lvl w:ilvl="0" w:tplc="BA58379A">
      <w:start w:val="1"/>
      <w:numFmt w:val="decimal"/>
      <w:lvlText w:val="%1."/>
      <w:lvlJc w:val="left"/>
      <w:pPr>
        <w:tabs>
          <w:tab w:val="num" w:pos="720"/>
        </w:tabs>
        <w:ind w:left="72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292E7221"/>
    <w:multiLevelType w:val="hybridMultilevel"/>
    <w:tmpl w:val="4C18A1DC"/>
    <w:lvl w:ilvl="0" w:tplc="0D34FE6E">
      <w:start w:val="1"/>
      <w:numFmt w:val="decimal"/>
      <w:lvlText w:val="%1."/>
      <w:lvlJc w:val="left"/>
      <w:pPr>
        <w:tabs>
          <w:tab w:val="num" w:pos="720"/>
        </w:tabs>
        <w:ind w:left="720" w:hanging="360"/>
      </w:pPr>
      <w:rPr>
        <w:rFonts w:ascii="Calibri" w:hAnsi="Calibri" w:cs="Calibri" w:hint="default"/>
        <w:b/>
        <w:bCs/>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nsid w:val="2F982580"/>
    <w:multiLevelType w:val="hybridMultilevel"/>
    <w:tmpl w:val="A90A8DD0"/>
    <w:lvl w:ilvl="0" w:tplc="DEA4EFFE">
      <w:start w:val="1"/>
      <w:numFmt w:val="decimal"/>
      <w:lvlText w:val="%1."/>
      <w:lvlJc w:val="left"/>
      <w:pPr>
        <w:tabs>
          <w:tab w:val="num" w:pos="900"/>
        </w:tabs>
        <w:ind w:left="900" w:hanging="360"/>
      </w:pPr>
      <w:rPr>
        <w:rFonts w:ascii="Tahoma" w:hAnsi="Tahoma" w:cs="Tahoma" w:hint="default"/>
        <w:b/>
        <w:bCs/>
        <w:i w:val="0"/>
        <w:iCs w:val="0"/>
        <w:sz w:val="20"/>
        <w:szCs w:val="20"/>
      </w:rPr>
    </w:lvl>
    <w:lvl w:ilvl="1" w:tplc="00AE610E">
      <w:start w:val="1"/>
      <w:numFmt w:val="lowerLetter"/>
      <w:lvlText w:val="%2."/>
      <w:lvlJc w:val="left"/>
      <w:pPr>
        <w:tabs>
          <w:tab w:val="num" w:pos="360"/>
        </w:tabs>
        <w:ind w:left="360" w:hanging="360"/>
      </w:pPr>
      <w:rPr>
        <w:rFonts w:hint="default"/>
        <w:b/>
        <w:bCs/>
        <w:i w:val="0"/>
        <w:iCs w:val="0"/>
        <w:sz w:val="20"/>
        <w:szCs w:val="20"/>
      </w:rPr>
    </w:lvl>
    <w:lvl w:ilvl="2" w:tplc="65D8A646">
      <w:start w:val="4"/>
      <w:numFmt w:val="upperLetter"/>
      <w:lvlText w:val="%3."/>
      <w:lvlJc w:val="left"/>
      <w:pPr>
        <w:tabs>
          <w:tab w:val="num" w:pos="2880"/>
        </w:tabs>
        <w:ind w:left="2880" w:hanging="360"/>
      </w:pPr>
      <w:rPr>
        <w:rFonts w:hint="default"/>
      </w:rPr>
    </w:lvl>
    <w:lvl w:ilvl="3" w:tplc="FDB00D1E">
      <w:start w:val="2"/>
      <w:numFmt w:val="lowerRoman"/>
      <w:lvlText w:val="%4)"/>
      <w:lvlJc w:val="left"/>
      <w:pPr>
        <w:tabs>
          <w:tab w:val="num" w:pos="3780"/>
        </w:tabs>
        <w:ind w:left="3780" w:hanging="720"/>
      </w:pPr>
      <w:rPr>
        <w:rFonts w:hint="default"/>
      </w:rPr>
    </w:lvl>
    <w:lvl w:ilvl="4" w:tplc="0C0A0019">
      <w:start w:val="1"/>
      <w:numFmt w:val="lowerLetter"/>
      <w:lvlText w:val="%5."/>
      <w:lvlJc w:val="left"/>
      <w:pPr>
        <w:tabs>
          <w:tab w:val="num" w:pos="4140"/>
        </w:tabs>
        <w:ind w:left="4140" w:hanging="360"/>
      </w:pPr>
    </w:lvl>
    <w:lvl w:ilvl="5" w:tplc="0C0A001B">
      <w:start w:val="1"/>
      <w:numFmt w:val="lowerRoman"/>
      <w:lvlText w:val="%6."/>
      <w:lvlJc w:val="right"/>
      <w:pPr>
        <w:tabs>
          <w:tab w:val="num" w:pos="4860"/>
        </w:tabs>
        <w:ind w:left="4860" w:hanging="180"/>
      </w:pPr>
    </w:lvl>
    <w:lvl w:ilvl="6" w:tplc="0C0A000F">
      <w:start w:val="1"/>
      <w:numFmt w:val="decimal"/>
      <w:lvlText w:val="%7."/>
      <w:lvlJc w:val="left"/>
      <w:pPr>
        <w:tabs>
          <w:tab w:val="num" w:pos="5580"/>
        </w:tabs>
        <w:ind w:left="5580" w:hanging="360"/>
      </w:pPr>
    </w:lvl>
    <w:lvl w:ilvl="7" w:tplc="0C0A0019">
      <w:start w:val="1"/>
      <w:numFmt w:val="lowerLetter"/>
      <w:lvlText w:val="%8."/>
      <w:lvlJc w:val="left"/>
      <w:pPr>
        <w:tabs>
          <w:tab w:val="num" w:pos="6300"/>
        </w:tabs>
        <w:ind w:left="6300" w:hanging="360"/>
      </w:pPr>
    </w:lvl>
    <w:lvl w:ilvl="8" w:tplc="0C0A001B">
      <w:start w:val="1"/>
      <w:numFmt w:val="lowerRoman"/>
      <w:lvlText w:val="%9."/>
      <w:lvlJc w:val="right"/>
      <w:pPr>
        <w:tabs>
          <w:tab w:val="num" w:pos="7020"/>
        </w:tabs>
        <w:ind w:left="7020" w:hanging="180"/>
      </w:pPr>
    </w:lvl>
  </w:abstractNum>
  <w:abstractNum w:abstractNumId="7">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54256F0"/>
    <w:multiLevelType w:val="hybridMultilevel"/>
    <w:tmpl w:val="7102F08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nsid w:val="5644429D"/>
    <w:multiLevelType w:val="hybridMultilevel"/>
    <w:tmpl w:val="637E314C"/>
    <w:lvl w:ilvl="0" w:tplc="B8E24E50">
      <w:start w:val="1"/>
      <w:numFmt w:val="lowerRoman"/>
      <w:lvlText w:val="%1."/>
      <w:lvlJc w:val="right"/>
      <w:pPr>
        <w:ind w:left="1287" w:hanging="360"/>
      </w:pPr>
      <w:rPr>
        <w:b/>
        <w:bCs/>
        <w:sz w:val="20"/>
        <w:szCs w:val="20"/>
      </w:rPr>
    </w:lvl>
    <w:lvl w:ilvl="1" w:tplc="0C0A0019">
      <w:start w:val="1"/>
      <w:numFmt w:val="lowerLetter"/>
      <w:lvlText w:val="%2."/>
      <w:lvlJc w:val="left"/>
      <w:pPr>
        <w:ind w:left="2007" w:hanging="360"/>
      </w:pPr>
    </w:lvl>
    <w:lvl w:ilvl="2" w:tplc="0C0A001B">
      <w:start w:val="1"/>
      <w:numFmt w:val="lowerRoman"/>
      <w:lvlText w:val="%3."/>
      <w:lvlJc w:val="right"/>
      <w:pPr>
        <w:ind w:left="2727" w:hanging="180"/>
      </w:pPr>
    </w:lvl>
    <w:lvl w:ilvl="3" w:tplc="0C0A000F">
      <w:start w:val="1"/>
      <w:numFmt w:val="decimal"/>
      <w:lvlText w:val="%4."/>
      <w:lvlJc w:val="left"/>
      <w:pPr>
        <w:ind w:left="3447" w:hanging="360"/>
      </w:pPr>
    </w:lvl>
    <w:lvl w:ilvl="4" w:tplc="0C0A0019">
      <w:start w:val="1"/>
      <w:numFmt w:val="lowerLetter"/>
      <w:lvlText w:val="%5."/>
      <w:lvlJc w:val="left"/>
      <w:pPr>
        <w:ind w:left="4167" w:hanging="360"/>
      </w:pPr>
    </w:lvl>
    <w:lvl w:ilvl="5" w:tplc="0C0A001B">
      <w:start w:val="1"/>
      <w:numFmt w:val="lowerRoman"/>
      <w:lvlText w:val="%6."/>
      <w:lvlJc w:val="right"/>
      <w:pPr>
        <w:ind w:left="4887" w:hanging="180"/>
      </w:pPr>
    </w:lvl>
    <w:lvl w:ilvl="6" w:tplc="0C0A000F">
      <w:start w:val="1"/>
      <w:numFmt w:val="decimal"/>
      <w:lvlText w:val="%7."/>
      <w:lvlJc w:val="left"/>
      <w:pPr>
        <w:ind w:left="5607" w:hanging="360"/>
      </w:pPr>
    </w:lvl>
    <w:lvl w:ilvl="7" w:tplc="0C0A0019">
      <w:start w:val="1"/>
      <w:numFmt w:val="lowerLetter"/>
      <w:lvlText w:val="%8."/>
      <w:lvlJc w:val="left"/>
      <w:pPr>
        <w:ind w:left="6327" w:hanging="360"/>
      </w:pPr>
    </w:lvl>
    <w:lvl w:ilvl="8" w:tplc="0C0A001B">
      <w:start w:val="1"/>
      <w:numFmt w:val="lowerRoman"/>
      <w:lvlText w:val="%9."/>
      <w:lvlJc w:val="right"/>
      <w:pPr>
        <w:ind w:left="7047" w:hanging="180"/>
      </w:pPr>
    </w:lvl>
  </w:abstractNum>
  <w:abstractNum w:abstractNumId="10">
    <w:nsid w:val="745F267C"/>
    <w:multiLevelType w:val="hybridMultilevel"/>
    <w:tmpl w:val="0E7C135C"/>
    <w:lvl w:ilvl="0" w:tplc="B316ED02">
      <w:start w:val="3"/>
      <w:numFmt w:val="bullet"/>
      <w:lvlText w:val="-"/>
      <w:lvlJc w:val="left"/>
      <w:pPr>
        <w:ind w:left="1080" w:hanging="360"/>
      </w:pPr>
      <w:rPr>
        <w:rFonts w:ascii="Tahoma" w:eastAsia="Times New Roman" w:hAnsi="Tahoma"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cs="Wingdings" w:hint="default"/>
      </w:rPr>
    </w:lvl>
    <w:lvl w:ilvl="3" w:tplc="0C0A0001">
      <w:start w:val="1"/>
      <w:numFmt w:val="bullet"/>
      <w:lvlText w:val=""/>
      <w:lvlJc w:val="left"/>
      <w:pPr>
        <w:ind w:left="3240" w:hanging="360"/>
      </w:pPr>
      <w:rPr>
        <w:rFonts w:ascii="Symbol" w:hAnsi="Symbol" w:cs="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cs="Wingdings" w:hint="default"/>
      </w:rPr>
    </w:lvl>
    <w:lvl w:ilvl="6" w:tplc="0C0A0001">
      <w:start w:val="1"/>
      <w:numFmt w:val="bullet"/>
      <w:lvlText w:val=""/>
      <w:lvlJc w:val="left"/>
      <w:pPr>
        <w:ind w:left="5400" w:hanging="360"/>
      </w:pPr>
      <w:rPr>
        <w:rFonts w:ascii="Symbol" w:hAnsi="Symbol" w:cs="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cs="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5"/>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0"/>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F741E7"/>
    <w:rsid w:val="00026F4F"/>
    <w:rsid w:val="001E41AB"/>
    <w:rsid w:val="001F1676"/>
    <w:rsid w:val="003A23FC"/>
    <w:rsid w:val="004040E9"/>
    <w:rsid w:val="005F6913"/>
    <w:rsid w:val="0066645E"/>
    <w:rsid w:val="006A69B0"/>
    <w:rsid w:val="00941A0F"/>
    <w:rsid w:val="0096071E"/>
    <w:rsid w:val="00972FBA"/>
    <w:rsid w:val="009C1AF2"/>
    <w:rsid w:val="00BB43A0"/>
    <w:rsid w:val="00F741E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1E7"/>
    <w:rPr>
      <w:rFonts w:ascii="Calibri" w:eastAsia="Calibri" w:hAnsi="Calibri" w:cs="Times New Roman"/>
    </w:rPr>
  </w:style>
  <w:style w:type="paragraph" w:styleId="Ttulo2">
    <w:name w:val="heading 2"/>
    <w:basedOn w:val="Normal"/>
    <w:next w:val="Normal"/>
    <w:link w:val="Ttulo2Car"/>
    <w:qFormat/>
    <w:rsid w:val="00F741E7"/>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F741E7"/>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F741E7"/>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F741E7"/>
    <w:rPr>
      <w:rFonts w:ascii="Arial" w:eastAsia="Calibri" w:hAnsi="Arial" w:cs="Arial"/>
      <w:b/>
      <w:bCs/>
      <w:sz w:val="26"/>
      <w:szCs w:val="26"/>
    </w:rPr>
  </w:style>
  <w:style w:type="paragraph" w:styleId="Textoindependiente3">
    <w:name w:val="Body Text 3"/>
    <w:basedOn w:val="Normal"/>
    <w:link w:val="Textoindependiente3Car"/>
    <w:semiHidden/>
    <w:unhideWhenUsed/>
    <w:rsid w:val="00F741E7"/>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F741E7"/>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F741E7"/>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F741E7"/>
    <w:pPr>
      <w:tabs>
        <w:tab w:val="center" w:pos="4252"/>
        <w:tab w:val="right" w:pos="8504"/>
      </w:tabs>
    </w:pPr>
  </w:style>
  <w:style w:type="character" w:customStyle="1" w:styleId="PiedepginaCar">
    <w:name w:val="Pie de página Car"/>
    <w:basedOn w:val="Fuentedeprrafopredeter"/>
    <w:link w:val="Piedepgina"/>
    <w:uiPriority w:val="99"/>
    <w:rsid w:val="00F741E7"/>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
    <w:basedOn w:val="Normal"/>
    <w:link w:val="TextonotapieCar"/>
    <w:uiPriority w:val="99"/>
    <w:rsid w:val="00F741E7"/>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
    <w:basedOn w:val="Fuentedeprrafopredeter"/>
    <w:link w:val="Textonotapie"/>
    <w:uiPriority w:val="99"/>
    <w:rsid w:val="00F741E7"/>
    <w:rPr>
      <w:rFonts w:ascii="Tahoma" w:eastAsia="Calibri" w:hAnsi="Tahoma" w:cs="Tahoma"/>
      <w:sz w:val="20"/>
      <w:szCs w:val="20"/>
    </w:rPr>
  </w:style>
  <w:style w:type="character" w:styleId="Refdenotaalpie">
    <w:name w:val="footnote reference"/>
    <w:basedOn w:val="Fuentedeprrafopredeter"/>
    <w:uiPriority w:val="99"/>
    <w:semiHidden/>
    <w:rsid w:val="00F741E7"/>
    <w:rPr>
      <w:vertAlign w:val="superscript"/>
    </w:rPr>
  </w:style>
  <w:style w:type="paragraph" w:styleId="Textoindependiente">
    <w:name w:val="Body Text"/>
    <w:basedOn w:val="Normal"/>
    <w:link w:val="TextoindependienteCar"/>
    <w:uiPriority w:val="99"/>
    <w:semiHidden/>
    <w:unhideWhenUsed/>
    <w:rsid w:val="00F741E7"/>
    <w:pPr>
      <w:spacing w:after="120"/>
    </w:pPr>
  </w:style>
  <w:style w:type="character" w:customStyle="1" w:styleId="TextoindependienteCar">
    <w:name w:val="Texto independiente Car"/>
    <w:basedOn w:val="Fuentedeprrafopredeter"/>
    <w:link w:val="Textoindependiente"/>
    <w:uiPriority w:val="99"/>
    <w:semiHidden/>
    <w:rsid w:val="00F741E7"/>
    <w:rPr>
      <w:rFonts w:ascii="Calibri" w:eastAsia="Calibri" w:hAnsi="Calibri" w:cs="Times New Roman"/>
    </w:rPr>
  </w:style>
  <w:style w:type="paragraph" w:styleId="Sangradetextonormal">
    <w:name w:val="Body Text Indent"/>
    <w:basedOn w:val="Normal"/>
    <w:link w:val="SangradetextonormalCar"/>
    <w:uiPriority w:val="99"/>
    <w:semiHidden/>
    <w:unhideWhenUsed/>
    <w:rsid w:val="00F741E7"/>
    <w:pPr>
      <w:spacing w:after="120"/>
      <w:ind w:left="283"/>
    </w:pPr>
  </w:style>
  <w:style w:type="character" w:customStyle="1" w:styleId="SangradetextonormalCar">
    <w:name w:val="Sangría de texto normal Car"/>
    <w:basedOn w:val="Fuentedeprrafopredeter"/>
    <w:link w:val="Sangradetextonormal"/>
    <w:uiPriority w:val="99"/>
    <w:semiHidden/>
    <w:rsid w:val="00F741E7"/>
    <w:rPr>
      <w:rFonts w:ascii="Calibri" w:eastAsia="Calibri" w:hAnsi="Calibri" w:cs="Times New Roman"/>
    </w:rPr>
  </w:style>
  <w:style w:type="paragraph" w:styleId="NormalWeb">
    <w:name w:val="Normal (Web)"/>
    <w:basedOn w:val="Normal"/>
    <w:uiPriority w:val="99"/>
    <w:rsid w:val="00F741E7"/>
    <w:pPr>
      <w:spacing w:before="100" w:beforeAutospacing="1" w:after="100" w:afterAutospacing="1" w:line="240" w:lineRule="auto"/>
    </w:pPr>
    <w:rPr>
      <w:rFonts w:ascii="Times New Roman" w:eastAsia="Times New Roman" w:hAnsi="Times New Roman"/>
      <w:sz w:val="24"/>
      <w:szCs w:val="24"/>
      <w:lang w:eastAsia="es-ES"/>
    </w:rPr>
  </w:style>
  <w:style w:type="paragraph" w:styleId="Textoindependiente2">
    <w:name w:val="Body Text 2"/>
    <w:basedOn w:val="Normal"/>
    <w:link w:val="Textoindependiente2Car"/>
    <w:uiPriority w:val="99"/>
    <w:semiHidden/>
    <w:unhideWhenUsed/>
    <w:rsid w:val="00F741E7"/>
    <w:pPr>
      <w:spacing w:after="120" w:line="480" w:lineRule="auto"/>
    </w:pPr>
  </w:style>
  <w:style w:type="character" w:customStyle="1" w:styleId="Textoindependiente2Car">
    <w:name w:val="Texto independiente 2 Car"/>
    <w:basedOn w:val="Fuentedeprrafopredeter"/>
    <w:link w:val="Textoindependiente2"/>
    <w:uiPriority w:val="99"/>
    <w:semiHidden/>
    <w:rsid w:val="00F741E7"/>
    <w:rPr>
      <w:rFonts w:ascii="Calibri" w:eastAsia="Calibri" w:hAnsi="Calibri" w:cs="Times New Roman"/>
    </w:rPr>
  </w:style>
  <w:style w:type="paragraph" w:styleId="Encabezado">
    <w:name w:val="header"/>
    <w:aliases w:val="maria,h"/>
    <w:basedOn w:val="Normal"/>
    <w:link w:val="EncabezadoCar"/>
    <w:uiPriority w:val="99"/>
    <w:semiHidden/>
    <w:unhideWhenUsed/>
    <w:rsid w:val="001E41AB"/>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1E41A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6148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4674</Words>
  <Characters>25708</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2011-02-22T22:24:00Z</cp:lastPrinted>
  <dcterms:created xsi:type="dcterms:W3CDTF">2011-02-22T21:35:00Z</dcterms:created>
  <dcterms:modified xsi:type="dcterms:W3CDTF">2011-03-07T16:37:00Z</dcterms:modified>
</cp:coreProperties>
</file>